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widowControl w:val="0"/>
        <w:snapToGrid w:val="0"/>
        <w:spacing w:after="0" w:line="470" w:lineRule="atLeast"/>
        <w:ind w:firstLine="0"/>
        <w:jc w:val="center"/>
        <w:rPr>
          <w:rFonts w:ascii="宋体" w:hAnsi="宋体" w:cs="宋体"/>
          <w:color w:val="auto"/>
          <w:sz w:val="46"/>
          <w:szCs w:val="44"/>
          <w:highlight w:val="none"/>
        </w:rPr>
      </w:pPr>
    </w:p>
    <w:p>
      <w:pPr>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温州市政府分散采购</w:t>
      </w:r>
    </w:p>
    <w:p>
      <w:pPr>
        <w:pStyle w:val="92"/>
        <w:widowControl w:val="0"/>
        <w:snapToGrid w:val="0"/>
        <w:spacing w:after="0" w:line="470" w:lineRule="atLeast"/>
        <w:ind w:firstLine="0"/>
        <w:jc w:val="center"/>
        <w:rPr>
          <w:rFonts w:ascii="宋体" w:hAnsi="宋体" w:cs="宋体"/>
          <w:color w:val="auto"/>
          <w:sz w:val="46"/>
          <w:szCs w:val="44"/>
          <w:highlight w:val="none"/>
        </w:rPr>
      </w:pPr>
    </w:p>
    <w:p>
      <w:pPr>
        <w:pStyle w:val="92"/>
        <w:widowControl w:val="0"/>
        <w:snapToGrid w:val="0"/>
        <w:spacing w:after="0" w:line="470" w:lineRule="atLeast"/>
        <w:ind w:firstLine="0"/>
        <w:jc w:val="center"/>
        <w:rPr>
          <w:rFonts w:ascii="宋体" w:hAnsi="宋体" w:cs="宋体"/>
          <w:color w:val="auto"/>
          <w:szCs w:val="44"/>
          <w:highlight w:val="none"/>
        </w:rPr>
      </w:pPr>
    </w:p>
    <w:p>
      <w:pPr>
        <w:pStyle w:val="92"/>
        <w:widowControl w:val="0"/>
        <w:snapToGrid w:val="0"/>
        <w:spacing w:after="0" w:line="470" w:lineRule="atLeast"/>
        <w:ind w:firstLine="0"/>
        <w:jc w:val="center"/>
        <w:rPr>
          <w:rFonts w:ascii="宋体" w:hAnsi="宋体" w:cs="宋体"/>
          <w:color w:val="auto"/>
          <w:szCs w:val="44"/>
          <w:highlight w:val="none"/>
        </w:rPr>
      </w:pPr>
    </w:p>
    <w:p>
      <w:pPr>
        <w:pStyle w:val="92"/>
        <w:widowControl w:val="0"/>
        <w:snapToGrid w:val="0"/>
        <w:spacing w:after="0" w:line="470" w:lineRule="atLeast"/>
        <w:ind w:firstLine="0"/>
        <w:jc w:val="center"/>
        <w:rPr>
          <w:rFonts w:ascii="宋体" w:hAnsi="宋体" w:cs="宋体"/>
          <w:color w:val="auto"/>
          <w:szCs w:val="44"/>
          <w:highlight w:val="none"/>
        </w:rPr>
      </w:pPr>
    </w:p>
    <w:p>
      <w:pPr>
        <w:pStyle w:val="92"/>
        <w:widowControl w:val="0"/>
        <w:snapToGrid w:val="0"/>
        <w:spacing w:after="0" w:line="470" w:lineRule="atLeast"/>
        <w:ind w:firstLine="0"/>
        <w:jc w:val="center"/>
        <w:rPr>
          <w:rFonts w:ascii="宋体" w:hAnsi="宋体" w:cs="宋体"/>
          <w:color w:val="auto"/>
          <w:sz w:val="72"/>
          <w:szCs w:val="72"/>
          <w:highlight w:val="none"/>
        </w:rPr>
      </w:pPr>
      <w:r>
        <w:rPr>
          <w:rFonts w:hint="eastAsia" w:ascii="宋体" w:hAnsi="宋体" w:cs="宋体"/>
          <w:color w:val="auto"/>
          <w:sz w:val="72"/>
          <w:szCs w:val="72"/>
          <w:highlight w:val="none"/>
        </w:rPr>
        <w:t>磋商文件</w:t>
      </w:r>
    </w:p>
    <w:p>
      <w:pPr>
        <w:widowControl/>
        <w:spacing w:after="0" w:line="360" w:lineRule="auto"/>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pPr>
        <w:pStyle w:val="92"/>
        <w:widowControl w:val="0"/>
        <w:snapToGrid w:val="0"/>
        <w:spacing w:after="0" w:line="470" w:lineRule="atLeast"/>
        <w:ind w:firstLine="0"/>
        <w:jc w:val="center"/>
        <w:rPr>
          <w:rFonts w:ascii="宋体" w:hAnsi="宋体" w:cs="宋体"/>
          <w:b w:val="0"/>
          <w:color w:val="auto"/>
          <w:sz w:val="32"/>
          <w:highlight w:val="none"/>
        </w:rPr>
      </w:pPr>
    </w:p>
    <w:p>
      <w:pPr>
        <w:pStyle w:val="92"/>
        <w:widowControl w:val="0"/>
        <w:snapToGrid w:val="0"/>
        <w:spacing w:after="0" w:line="470" w:lineRule="atLeast"/>
        <w:ind w:firstLine="0"/>
        <w:jc w:val="center"/>
        <w:rPr>
          <w:rFonts w:ascii="宋体" w:hAnsi="宋体" w:cs="宋体"/>
          <w:b w:val="0"/>
          <w:color w:val="auto"/>
          <w:sz w:val="32"/>
          <w:highlight w:val="none"/>
        </w:rPr>
      </w:pPr>
    </w:p>
    <w:p>
      <w:pPr>
        <w:pStyle w:val="92"/>
        <w:widowControl w:val="0"/>
        <w:snapToGrid w:val="0"/>
        <w:spacing w:after="0" w:line="470" w:lineRule="atLeast"/>
        <w:ind w:firstLine="0"/>
        <w:jc w:val="center"/>
        <w:rPr>
          <w:rFonts w:ascii="宋体" w:hAnsi="宋体" w:cs="宋体"/>
          <w:color w:val="auto"/>
          <w:sz w:val="32"/>
          <w:highlight w:val="none"/>
        </w:rPr>
      </w:pPr>
    </w:p>
    <w:p>
      <w:pPr>
        <w:spacing w:after="0" w:line="360" w:lineRule="auto"/>
        <w:ind w:firstLine="1405" w:firstLineChars="50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WZUZFFS-JZCS-20230003</w:t>
      </w:r>
    </w:p>
    <w:p>
      <w:pPr>
        <w:spacing w:after="0" w:line="360" w:lineRule="auto"/>
        <w:ind w:firstLine="1405" w:firstLineChars="500"/>
        <w:jc w:val="left"/>
        <w:rPr>
          <w:rFonts w:ascii="宋体" w:hAnsi="宋体" w:cs="宋体"/>
          <w:b/>
          <w:color w:val="auto"/>
          <w:sz w:val="28"/>
          <w:szCs w:val="28"/>
          <w:highlight w:val="none"/>
        </w:rPr>
      </w:pPr>
      <w:r>
        <w:rPr>
          <w:rFonts w:hint="eastAsia" w:ascii="宋体" w:hAnsi="宋体" w:cs="宋体"/>
          <w:b/>
          <w:color w:val="auto"/>
          <w:sz w:val="28"/>
          <w:szCs w:val="28"/>
          <w:highlight w:val="none"/>
        </w:rPr>
        <w:t>项目名称：温州市“松台别业”展陈项目</w:t>
      </w:r>
    </w:p>
    <w:p>
      <w:pPr>
        <w:spacing w:after="0" w:line="360" w:lineRule="auto"/>
        <w:ind w:firstLine="1405" w:firstLineChars="500"/>
        <w:jc w:val="left"/>
        <w:rPr>
          <w:rFonts w:ascii="宋体" w:hAnsi="宋体" w:cs="宋体"/>
          <w:b/>
          <w:color w:val="auto"/>
          <w:sz w:val="28"/>
          <w:szCs w:val="28"/>
          <w:highlight w:val="none"/>
        </w:rPr>
      </w:pPr>
      <w:r>
        <w:rPr>
          <w:rFonts w:hint="eastAsia" w:ascii="宋体" w:hAnsi="宋体" w:cs="宋体"/>
          <w:b/>
          <w:color w:val="auto"/>
          <w:sz w:val="28"/>
          <w:szCs w:val="28"/>
          <w:highlight w:val="none"/>
        </w:rPr>
        <w:t>采购方式：竞争性磋商</w:t>
      </w:r>
    </w:p>
    <w:p>
      <w:pPr>
        <w:spacing w:line="600" w:lineRule="exact"/>
        <w:ind w:firstLine="904" w:firstLineChars="300"/>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line="480" w:lineRule="auto"/>
        <w:rPr>
          <w:rFonts w:ascii="宋体" w:hAnsi="宋体" w:cs="宋体"/>
          <w:b/>
          <w:color w:val="auto"/>
          <w:sz w:val="30"/>
          <w:szCs w:val="30"/>
          <w:highlight w:val="none"/>
        </w:rPr>
      </w:pPr>
    </w:p>
    <w:p>
      <w:pPr>
        <w:spacing w:line="480" w:lineRule="auto"/>
        <w:ind w:firstLine="1485" w:firstLineChars="493"/>
        <w:rPr>
          <w:rFonts w:ascii="宋体" w:hAnsi="宋体" w:cs="宋体"/>
          <w:b/>
          <w:color w:val="auto"/>
          <w:sz w:val="30"/>
          <w:szCs w:val="30"/>
          <w:highlight w:val="none"/>
        </w:rPr>
      </w:pPr>
      <w:r>
        <w:rPr>
          <w:rFonts w:hint="eastAsia" w:ascii="宋体" w:hAnsi="宋体" w:cs="宋体"/>
          <w:b/>
          <w:color w:val="auto"/>
          <w:sz w:val="30"/>
          <w:szCs w:val="30"/>
          <w:highlight w:val="none"/>
        </w:rPr>
        <w:t>采购人：温州大学</w:t>
      </w:r>
    </w:p>
    <w:p>
      <w:pPr>
        <w:spacing w:line="480" w:lineRule="auto"/>
        <w:ind w:firstLine="1485" w:firstLineChars="493"/>
        <w:rPr>
          <w:rFonts w:ascii="宋体" w:hAnsi="宋体" w:cs="宋体"/>
          <w:b/>
          <w:color w:val="auto"/>
          <w:sz w:val="30"/>
          <w:szCs w:val="30"/>
          <w:highlight w:val="none"/>
        </w:rPr>
      </w:pPr>
      <w:r>
        <w:rPr>
          <w:rFonts w:hint="eastAsia" w:ascii="宋体" w:hAnsi="宋体" w:cs="宋体"/>
          <w:b/>
          <w:color w:val="auto"/>
          <w:sz w:val="30"/>
          <w:szCs w:val="30"/>
          <w:highlight w:val="none"/>
        </w:rPr>
        <w:t>采购代理机构：浙江乐诚工程咨询有限公司</w:t>
      </w: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二○二三年七月</w:t>
      </w:r>
    </w:p>
    <w:p>
      <w:pPr>
        <w:pStyle w:val="92"/>
        <w:widowControl w:val="0"/>
        <w:snapToGrid w:val="0"/>
        <w:spacing w:after="0" w:line="470" w:lineRule="atLeast"/>
        <w:ind w:firstLine="0"/>
        <w:jc w:val="center"/>
        <w:rPr>
          <w:rFonts w:ascii="宋体" w:hAnsi="宋体" w:cs="宋体"/>
          <w:color w:val="auto"/>
          <w:highlight w:val="none"/>
        </w:rPr>
      </w:pPr>
    </w:p>
    <w:p>
      <w:pPr>
        <w:pStyle w:val="92"/>
        <w:widowControl w:val="0"/>
        <w:snapToGrid w:val="0"/>
        <w:spacing w:after="0" w:line="470" w:lineRule="atLeast"/>
        <w:ind w:firstLine="0"/>
        <w:jc w:val="center"/>
        <w:rPr>
          <w:rFonts w:ascii="宋体" w:hAnsi="宋体" w:cs="宋体"/>
          <w:color w:val="auto"/>
          <w:highlight w:val="none"/>
        </w:rPr>
      </w:pPr>
    </w:p>
    <w:p>
      <w:pPr>
        <w:pStyle w:val="92"/>
        <w:widowControl w:val="0"/>
        <w:snapToGrid w:val="0"/>
        <w:spacing w:after="0" w:line="442" w:lineRule="atLeast"/>
        <w:ind w:firstLine="0"/>
        <w:jc w:val="center"/>
        <w:rPr>
          <w:rFonts w:ascii="宋体" w:hAnsi="宋体" w:cs="宋体"/>
          <w:bCs/>
          <w:color w:val="auto"/>
          <w:szCs w:val="44"/>
          <w:highlight w:val="none"/>
        </w:rPr>
      </w:pPr>
      <w:r>
        <w:rPr>
          <w:rFonts w:hint="eastAsia" w:ascii="宋体" w:hAnsi="宋体" w:cs="宋体"/>
          <w:bCs/>
          <w:color w:val="auto"/>
          <w:szCs w:val="44"/>
          <w:highlight w:val="none"/>
        </w:rPr>
        <w:t>目 录</w:t>
      </w:r>
    </w:p>
    <w:p>
      <w:pPr>
        <w:pStyle w:val="92"/>
        <w:widowControl w:val="0"/>
        <w:snapToGrid w:val="0"/>
        <w:spacing w:after="0" w:line="442" w:lineRule="atLeast"/>
        <w:ind w:firstLine="0"/>
        <w:jc w:val="center"/>
        <w:rPr>
          <w:rFonts w:ascii="宋体" w:hAnsi="宋体" w:cs="宋体"/>
          <w:b w:val="0"/>
          <w:bCs/>
          <w:color w:val="auto"/>
          <w:sz w:val="32"/>
          <w:szCs w:val="32"/>
          <w:highlight w:val="none"/>
        </w:rPr>
      </w:pPr>
    </w:p>
    <w:p>
      <w:pPr>
        <w:pStyle w:val="26"/>
        <w:spacing w:before="0" w:after="0" w:line="480" w:lineRule="auto"/>
        <w:ind w:firstLine="159"/>
        <w:jc w:val="both"/>
        <w:rPr>
          <w:rFonts w:cs="宋体"/>
          <w:color w:val="auto"/>
          <w:sz w:val="28"/>
          <w:szCs w:val="28"/>
          <w:highlight w:val="none"/>
        </w:rPr>
      </w:pPr>
      <w:r>
        <w:rPr>
          <w:rFonts w:hint="eastAsia" w:cs="宋体"/>
          <w:color w:val="auto"/>
          <w:sz w:val="28"/>
          <w:szCs w:val="28"/>
          <w:highlight w:val="none"/>
        </w:rPr>
        <w:t>第一部分  采购邀请</w:t>
      </w:r>
    </w:p>
    <w:p>
      <w:pPr>
        <w:pStyle w:val="26"/>
        <w:spacing w:before="0" w:after="0" w:line="480" w:lineRule="auto"/>
        <w:ind w:firstLine="159"/>
        <w:jc w:val="both"/>
        <w:rPr>
          <w:rFonts w:cs="宋体"/>
          <w:color w:val="auto"/>
          <w:sz w:val="28"/>
          <w:szCs w:val="28"/>
          <w:highlight w:val="none"/>
        </w:rPr>
      </w:pPr>
      <w:r>
        <w:rPr>
          <w:rFonts w:hint="eastAsia" w:cs="宋体"/>
          <w:color w:val="auto"/>
          <w:sz w:val="28"/>
          <w:szCs w:val="28"/>
          <w:highlight w:val="none"/>
        </w:rPr>
        <w:t>第二部分  供应商须知</w:t>
      </w:r>
    </w:p>
    <w:p>
      <w:pPr>
        <w:pStyle w:val="26"/>
        <w:spacing w:before="0" w:after="0" w:line="480" w:lineRule="auto"/>
        <w:ind w:firstLine="159"/>
        <w:jc w:val="both"/>
        <w:rPr>
          <w:rFonts w:cs="宋体"/>
          <w:color w:val="auto"/>
          <w:sz w:val="28"/>
          <w:szCs w:val="28"/>
          <w:highlight w:val="none"/>
        </w:rPr>
      </w:pPr>
      <w:r>
        <w:rPr>
          <w:rFonts w:hint="eastAsia" w:cs="宋体"/>
          <w:color w:val="auto"/>
          <w:sz w:val="28"/>
          <w:szCs w:val="28"/>
          <w:highlight w:val="none"/>
        </w:rPr>
        <w:t>第三部分  采购需求</w:t>
      </w:r>
    </w:p>
    <w:p>
      <w:pPr>
        <w:pStyle w:val="26"/>
        <w:spacing w:before="0" w:after="0" w:line="480" w:lineRule="auto"/>
        <w:ind w:firstLine="159"/>
        <w:jc w:val="both"/>
        <w:rPr>
          <w:rFonts w:cs="宋体"/>
          <w:color w:val="auto"/>
          <w:sz w:val="28"/>
          <w:szCs w:val="28"/>
          <w:highlight w:val="none"/>
        </w:rPr>
      </w:pPr>
      <w:r>
        <w:rPr>
          <w:rFonts w:hint="eastAsia" w:cs="宋体"/>
          <w:color w:val="auto"/>
          <w:sz w:val="28"/>
          <w:szCs w:val="28"/>
          <w:highlight w:val="none"/>
        </w:rPr>
        <w:t xml:space="preserve">第四部分  合同主要条款 </w:t>
      </w:r>
    </w:p>
    <w:p>
      <w:pPr>
        <w:pStyle w:val="26"/>
        <w:spacing w:before="0" w:after="0" w:line="480" w:lineRule="auto"/>
        <w:ind w:firstLine="159"/>
        <w:jc w:val="both"/>
        <w:rPr>
          <w:rFonts w:cs="宋体"/>
          <w:color w:val="auto"/>
          <w:sz w:val="28"/>
          <w:szCs w:val="28"/>
          <w:highlight w:val="none"/>
        </w:rPr>
      </w:pPr>
      <w:r>
        <w:rPr>
          <w:rFonts w:hint="eastAsia" w:cs="宋体"/>
          <w:color w:val="auto"/>
          <w:sz w:val="28"/>
          <w:szCs w:val="28"/>
          <w:highlight w:val="none"/>
        </w:rPr>
        <w:t>第五部分  附件（响应文件格式）</w:t>
      </w:r>
    </w:p>
    <w:p>
      <w:pPr>
        <w:pStyle w:val="18"/>
        <w:spacing w:after="0"/>
        <w:ind w:left="0" w:right="0" w:rightChars="0"/>
        <w:rPr>
          <w:rFonts w:cs="宋体"/>
          <w:color w:val="auto"/>
          <w:sz w:val="24"/>
          <w:szCs w:val="24"/>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"1-2" \h \z \u </w:instrText>
      </w:r>
      <w:r>
        <w:rPr>
          <w:rFonts w:hint="eastAsia" w:cs="宋体"/>
          <w:color w:val="auto"/>
          <w:sz w:val="21"/>
          <w:szCs w:val="21"/>
          <w:highlight w:val="none"/>
        </w:rPr>
        <w:fldChar w:fldCharType="separate"/>
      </w:r>
    </w:p>
    <w:p>
      <w:pPr>
        <w:pStyle w:val="18"/>
        <w:spacing w:after="0"/>
        <w:ind w:left="0" w:right="0" w:rightChars="0"/>
        <w:rPr>
          <w:rFonts w:cs="宋体"/>
          <w:color w:val="auto"/>
          <w:sz w:val="24"/>
          <w:szCs w:val="24"/>
          <w:highlight w:val="none"/>
        </w:rPr>
      </w:pPr>
    </w:p>
    <w:p>
      <w:pPr>
        <w:spacing w:after="0" w:line="360" w:lineRule="auto"/>
        <w:ind w:firstLine="420" w:firstLineChars="200"/>
        <w:rPr>
          <w:rFonts w:ascii="宋体" w:hAnsi="宋体" w:cs="宋体"/>
          <w:b/>
          <w:color w:val="auto"/>
          <w:sz w:val="24"/>
          <w:highlight w:val="none"/>
          <w:u w:val="single"/>
        </w:rPr>
      </w:pPr>
      <w:r>
        <w:rPr>
          <w:rFonts w:hint="eastAsia" w:ascii="宋体" w:hAnsi="宋体" w:cs="宋体"/>
          <w:color w:val="auto"/>
          <w:szCs w:val="21"/>
          <w:highlight w:val="none"/>
        </w:rPr>
        <w:fldChar w:fldCharType="end"/>
      </w:r>
      <w:r>
        <w:rPr>
          <w:rFonts w:hint="eastAsia" w:ascii="宋体" w:hAnsi="宋体" w:cs="宋体"/>
          <w:b/>
          <w:color w:val="auto"/>
          <w:sz w:val="24"/>
          <w:highlight w:val="none"/>
        </w:rPr>
        <w:t>注：本磋商文件中标“▲且加下划线”为投标的实质性要求和条件，必须作出实质性响应，否则投标无效，加粗部分为着重提醒各供应商注意。各供应商必须认真阅读和理解磋商文件中的每一个条款及要求，因误读磋商文件而造成的后果，采购人和采购代理机构概不负责。</w:t>
      </w:r>
    </w:p>
    <w:p>
      <w:pPr>
        <w:pStyle w:val="8"/>
        <w:numPr>
          <w:ilvl w:val="0"/>
          <w:numId w:val="2"/>
        </w:numPr>
        <w:spacing w:line="360" w:lineRule="exact"/>
        <w:jc w:val="center"/>
        <w:rPr>
          <w:rFonts w:hAnsi="宋体" w:cs="宋体"/>
          <w:b/>
          <w:bCs/>
          <w:caps/>
          <w:color w:val="auto"/>
          <w:sz w:val="32"/>
          <w:szCs w:val="32"/>
          <w:highlight w:val="none"/>
        </w:rPr>
      </w:pPr>
      <w:r>
        <w:rPr>
          <w:rFonts w:hint="eastAsia" w:hAnsi="宋体" w:cs="宋体"/>
          <w:color w:val="auto"/>
          <w:szCs w:val="21"/>
          <w:highlight w:val="none"/>
        </w:rPr>
        <w:br w:type="page"/>
      </w:r>
      <w:bookmarkStart w:id="0" w:name="_Toc118516209"/>
      <w:bookmarkStart w:id="1" w:name="_Toc171394907"/>
      <w:bookmarkStart w:id="2" w:name="_Toc479839527"/>
      <w:r>
        <w:rPr>
          <w:rFonts w:hint="eastAsia" w:hAnsi="宋体" w:cs="宋体"/>
          <w:b/>
          <w:bCs/>
          <w:caps/>
          <w:color w:val="auto"/>
          <w:sz w:val="32"/>
          <w:szCs w:val="32"/>
          <w:highlight w:val="none"/>
        </w:rPr>
        <w:t xml:space="preserve"> </w:t>
      </w:r>
      <w:bookmarkEnd w:id="0"/>
      <w:bookmarkEnd w:id="1"/>
      <w:bookmarkEnd w:id="2"/>
      <w:r>
        <w:rPr>
          <w:rFonts w:hint="eastAsia" w:hAnsi="宋体" w:cs="宋体"/>
          <w:b/>
          <w:bCs/>
          <w:caps/>
          <w:color w:val="auto"/>
          <w:sz w:val="32"/>
          <w:szCs w:val="32"/>
          <w:highlight w:val="none"/>
        </w:rPr>
        <w:t>采购邀请</w:t>
      </w:r>
      <w:bookmarkStart w:id="3" w:name="_Toc479839528"/>
      <w:bookmarkStart w:id="4" w:name="_Toc171394913"/>
      <w:bookmarkStart w:id="5" w:name="_Toc423439966"/>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项目概况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温州市“松台别业”展陈项目采购项目的潜在供应商应在政采云平台线上获取获取（下载）采购文件，并于2023年08月01日 09:30（北京时间）前提交（上传）响应文件。</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一、项目基本情况</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项目编号：WZUZFFS-JZCS-20230003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项目名称：温州市“松台别业”展陈项目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采购方式：竞争性磋商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预算金额（元）：3500000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最高限价（元）：/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         </w:t>
      </w:r>
      <w:r>
        <w:rPr>
          <w:rFonts w:hint="eastAsia" w:ascii="宋体" w:hAnsi="宋体" w:eastAsia="宋体" w:cs="宋体"/>
          <w:i w:val="0"/>
          <w:iCs w:val="0"/>
          <w:caps w:val="0"/>
          <w:color w:val="000000"/>
          <w:spacing w:val="0"/>
          <w:kern w:val="0"/>
          <w:sz w:val="22"/>
          <w:szCs w:val="22"/>
          <w:lang w:val="en-US" w:eastAsia="zh-CN" w:bidi="ar"/>
        </w:rPr>
        <w:br w:type="textWrapping"/>
      </w:r>
      <w:r>
        <w:rPr>
          <w:rFonts w:hint="eastAsia" w:ascii="宋体" w:hAnsi="宋体" w:eastAsia="宋体" w:cs="宋体"/>
          <w:i w:val="0"/>
          <w:iCs w:val="0"/>
          <w:caps w:val="0"/>
          <w:color w:val="000000"/>
          <w:spacing w:val="0"/>
          <w:kern w:val="0"/>
          <w:sz w:val="22"/>
          <w:szCs w:val="22"/>
          <w:lang w:val="en-US" w:eastAsia="zh-CN" w:bidi="ar"/>
        </w:rPr>
        <w:t>   数量：1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预算金额（元）：3500000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单位：项 </w:t>
      </w:r>
      <w:bookmarkStart w:id="42" w:name="_GoBack"/>
      <w:bookmarkEnd w:id="42"/>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简要规格描述：本项目内容包括但不限于：1、设计；2、设备材料采购；3、工程施工；4、总承包管理服务。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备注：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合同履约期限：标项 1，详见磋商文件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本项目（是）接受联合体投标。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二、申请人的资格要求：</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2.落实政府采购政策需满足的资格要求：标项1：专门面向中小企业采购项目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3.本项目的特定资格要求：</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【标项1】</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同时具备以下（1）、（2）项资质：（1）设计资质：工程设计综合甲级资质或建筑行业设计乙级及以上资质或建筑行业（建筑工程）设计乙级及以上资质或建筑装饰工程专项设计乙级及以上资质；（2）施工资质：建筑装修装饰工程专业承包贰级及以上资质。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三、获取（下载）采购文件</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时间：/至2023年08月01日，每天上午00:00至12:00，下午12:00至23:59（北京时间，线上获取法定节假日均可，线下获取文件法定节假日除外）</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地点（网址）：政采云平台线上获取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方式：供应商登录政采云平台https://www.zcygov.cn/在线申请获取采购文件（进入“项目采购”应用，在获取采购文件菜单中选择项目，申请获取采购文件）（公告规定的采购文件获取方式为依法获取采购文件的方式，未按照公告规定的方式获取采购文件的，不得对采购文件提起质疑、投诉。）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售价（元）：0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四、响应文件提交（上传）</w:t>
      </w:r>
      <w:r>
        <w:rPr>
          <w:rFonts w:hint="eastAsia" w:ascii="宋体" w:hAnsi="宋体" w:eastAsia="宋体" w:cs="宋体"/>
          <w:i w:val="0"/>
          <w:iCs w:val="0"/>
          <w:caps w:val="0"/>
          <w:color w:val="000000"/>
          <w:spacing w:val="0"/>
          <w:sz w:val="22"/>
          <w:szCs w:val="22"/>
        </w:rPr>
        <w:t>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截止时间：2023年08月01日 09:30（北京时间）</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地点（网址）：请登录政采云投标客户端投标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五、响应文件开启</w:t>
      </w:r>
      <w:r>
        <w:rPr>
          <w:rFonts w:hint="eastAsia" w:ascii="宋体" w:hAnsi="宋体" w:eastAsia="宋体" w:cs="宋体"/>
          <w:i w:val="0"/>
          <w:iCs w:val="0"/>
          <w:caps w:val="0"/>
          <w:color w:val="000000"/>
          <w:spacing w:val="0"/>
          <w:sz w:val="22"/>
          <w:szCs w:val="22"/>
        </w:rPr>
        <w:t>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开启时间：2023年08月01日 09:30 （北京时间）</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地点（网址）：温州大学茶山南校区行政楼516A（政府采购云平台（https://www.zcygov.cn/））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六、公告期限</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自本公告发布之日起3个工作日。</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七、其他补充事宜</w:t>
      </w:r>
      <w:r>
        <w:rPr>
          <w:rFonts w:hint="eastAsia" w:ascii="宋体" w:hAnsi="宋体" w:eastAsia="宋体" w:cs="宋体"/>
          <w:i w:val="0"/>
          <w:iCs w:val="0"/>
          <w:caps w:val="0"/>
          <w:color w:val="000000"/>
          <w:spacing w:val="0"/>
          <w:sz w:val="22"/>
          <w:szCs w:val="22"/>
        </w:rPr>
        <w:t>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6"/>
          <w:rFonts w:hint="eastAsia" w:ascii="宋体" w:hAnsi="宋体" w:eastAsia="宋体" w:cs="宋体"/>
          <w:i w:val="0"/>
          <w:iCs w:val="0"/>
          <w:caps w:val="0"/>
          <w:color w:val="000000"/>
          <w:spacing w:val="0"/>
          <w:sz w:val="22"/>
          <w:szCs w:val="22"/>
        </w:rPr>
        <w:t>八、凡对本次招标提出询问、质疑、投诉，请按以下方式联系</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1.采购人信息</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称：温州大学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址：温州高教园区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项目联系人（询问）：张老师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项目联系方式（询问）：0577-86596037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质疑联系人：贾老师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质疑联系方式：0577-86596095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2.采购代理机构信息</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称：浙江乐诚工程咨询有限公司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址：温州市瓯海区三垟街道桥头河大桥温州生命健康小镇B03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项目联系人（询问）：王纪凤/陈素芳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项目联系方式（询问）：18357703076、0577-86077700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质疑联系人：钱学丰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质疑联系方式：15805779720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3.</w:t>
      </w:r>
      <w:r>
        <w:rPr>
          <w:rStyle w:val="43"/>
          <w:rFonts w:hint="eastAsia" w:ascii="宋体" w:hAnsi="宋体" w:eastAsia="宋体" w:cs="宋体"/>
          <w:i w:val="0"/>
          <w:iCs w:val="0"/>
          <w:caps w:val="0"/>
          <w:color w:val="000000"/>
          <w:spacing w:val="0"/>
          <w:sz w:val="22"/>
          <w:szCs w:val="22"/>
        </w:rPr>
        <w:t>同级政府采购监督管理部门</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称：温州市财政局政府采购监管处</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址：温州市鹿城区绣山路299号</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联 系 人：项先生、蔡女士</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监督投诉电话：0577-88532725、88521948</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kern w:val="0"/>
          <w:sz w:val="22"/>
          <w:szCs w:val="22"/>
          <w:lang w:val="en-US" w:eastAsia="zh-CN" w:bidi="ar"/>
        </w:rPr>
        <w:br w:type="textWrapping"/>
      </w:r>
      <w:r>
        <w:rPr>
          <w:rFonts w:hint="eastAsia" w:ascii="宋体" w:hAnsi="宋体" w:eastAsia="宋体" w:cs="宋体"/>
          <w:i w:val="0"/>
          <w:iCs w:val="0"/>
          <w:caps w:val="0"/>
          <w:color w:val="000000"/>
          <w:spacing w:val="0"/>
          <w:kern w:val="0"/>
          <w:sz w:val="22"/>
          <w:szCs w:val="22"/>
          <w:lang w:val="en-US" w:eastAsia="zh-CN" w:bidi="ar"/>
        </w:rPr>
        <w:t> </w:t>
      </w:r>
      <w:r>
        <w:rPr>
          <w:rFonts w:hint="eastAsia" w:ascii="宋体" w:hAnsi="宋体" w:eastAsia="宋体" w:cs="宋体"/>
          <w:i w:val="0"/>
          <w:iCs w:val="0"/>
          <w:caps w:val="0"/>
          <w:color w:val="000000"/>
          <w:spacing w:val="0"/>
          <w:kern w:val="0"/>
          <w:sz w:val="22"/>
          <w:szCs w:val="22"/>
          <w:lang w:val="en-US" w:eastAsia="zh-CN" w:bidi="ar"/>
        </w:rPr>
        <w:br w:type="textWrapping"/>
      </w:r>
      <w:r>
        <w:rPr>
          <w:rFonts w:hint="eastAsia" w:ascii="宋体" w:hAnsi="宋体" w:eastAsia="宋体" w:cs="宋体"/>
          <w:i w:val="0"/>
          <w:iCs w:val="0"/>
          <w:caps w:val="0"/>
          <w:color w:val="000000"/>
          <w:spacing w:val="0"/>
          <w:kern w:val="0"/>
          <w:sz w:val="22"/>
          <w:szCs w:val="22"/>
          <w:lang w:val="en-US" w:eastAsia="zh-CN" w:bidi="ar"/>
        </w:rPr>
        <w:t> </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若对项目采购电子交易系统操作有疑问，可登录政采云（https://www.zcygov.cn/），点击右侧咨询小采，获取采小蜜智能服务管家帮助，或拨打政采云服务热线95763获取热线服务帮助。        </w:t>
      </w:r>
    </w:p>
    <w:p>
      <w:pPr>
        <w:spacing w:line="360" w:lineRule="exact"/>
        <w:jc w:val="left"/>
        <w:rPr>
          <w:rFonts w:ascii="宋体" w:hAnsi="宋体" w:cs="宋体"/>
          <w:color w:val="auto"/>
          <w:sz w:val="22"/>
          <w:szCs w:val="22"/>
          <w:highlight w:val="none"/>
        </w:rPr>
      </w:pPr>
      <w:r>
        <w:rPr>
          <w:rFonts w:hint="eastAsia" w:ascii="宋体" w:hAnsi="宋体" w:eastAsia="宋体" w:cs="宋体"/>
          <w:i w:val="0"/>
          <w:iCs w:val="0"/>
          <w:caps w:val="0"/>
          <w:color w:val="000000"/>
          <w:spacing w:val="0"/>
          <w:sz w:val="22"/>
          <w:szCs w:val="22"/>
        </w:rPr>
        <w:t>CA问题联系电话（人工）：汇信CA 400-888-4636；天谷CA 400-087-8198。</w:t>
      </w:r>
      <w:r>
        <w:rPr>
          <w:rFonts w:hint="eastAsia" w:ascii="仿宋" w:hAnsi="仿宋" w:eastAsia="仿宋" w:cs="仿宋"/>
          <w:i w:val="0"/>
          <w:iCs w:val="0"/>
          <w:caps w:val="0"/>
          <w:color w:val="000000"/>
          <w:spacing w:val="0"/>
          <w:sz w:val="24"/>
          <w:szCs w:val="24"/>
        </w:rPr>
        <w:br w:type="textWrapping"/>
      </w:r>
      <w:r>
        <w:rPr>
          <w:rFonts w:hint="eastAsia" w:ascii="宋体" w:hAnsi="宋体" w:cs="宋体"/>
          <w:color w:val="auto"/>
          <w:sz w:val="22"/>
          <w:szCs w:val="22"/>
          <w:highlight w:val="none"/>
        </w:rPr>
        <w:br w:type="textWrapping"/>
      </w:r>
      <w:r>
        <w:rPr>
          <w:rFonts w:hint="eastAsia" w:ascii="宋体" w:hAnsi="宋体" w:cs="宋体"/>
          <w:color w:val="auto"/>
          <w:sz w:val="22"/>
          <w:szCs w:val="22"/>
          <w:highlight w:val="none"/>
        </w:rPr>
        <w:t xml:space="preserve">                                                                               温州大学</w:t>
      </w:r>
    </w:p>
    <w:p>
      <w:pPr>
        <w:spacing w:line="36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浙江乐诚工程咨询有限公司</w:t>
      </w:r>
    </w:p>
    <w:p>
      <w:pPr>
        <w:spacing w:after="0" w:line="360" w:lineRule="exact"/>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2023年07月21日</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pStyle w:val="18"/>
        <w:tabs>
          <w:tab w:val="left" w:pos="4286"/>
        </w:tabs>
        <w:spacing w:after="0"/>
        <w:ind w:left="0" w:right="0" w:rightChars="0"/>
        <w:jc w:val="center"/>
        <w:rPr>
          <w:rFonts w:cs="宋体"/>
          <w:color w:val="auto"/>
          <w:highlight w:val="none"/>
        </w:rPr>
      </w:pPr>
      <w:r>
        <w:rPr>
          <w:rFonts w:hint="eastAsia" w:cs="宋体"/>
          <w:b/>
          <w:bCs/>
          <w:caps/>
          <w:color w:val="auto"/>
          <w:sz w:val="32"/>
          <w:szCs w:val="32"/>
          <w:highlight w:val="none"/>
        </w:rPr>
        <w:t xml:space="preserve">第二部分 </w:t>
      </w:r>
      <w:bookmarkEnd w:id="3"/>
      <w:r>
        <w:rPr>
          <w:rFonts w:hint="eastAsia" w:cs="宋体"/>
          <w:b/>
          <w:bCs/>
          <w:caps/>
          <w:color w:val="auto"/>
          <w:sz w:val="32"/>
          <w:szCs w:val="32"/>
          <w:highlight w:val="none"/>
        </w:rPr>
        <w:t>供应商须知</w:t>
      </w:r>
    </w:p>
    <w:p>
      <w:pPr>
        <w:spacing w:after="0" w:line="370" w:lineRule="exact"/>
        <w:jc w:val="center"/>
        <w:rPr>
          <w:rFonts w:ascii="宋体" w:hAnsi="宋体" w:cs="宋体"/>
          <w:color w:val="auto"/>
          <w:highlight w:val="none"/>
        </w:rPr>
      </w:pPr>
      <w:r>
        <w:rPr>
          <w:rFonts w:hint="eastAsia" w:ascii="宋体" w:hAnsi="宋体" w:cs="宋体"/>
          <w:b/>
          <w:bCs/>
          <w:caps/>
          <w:color w:val="auto"/>
          <w:sz w:val="32"/>
          <w:szCs w:val="32"/>
          <w:highlight w:val="none"/>
        </w:rPr>
        <w:t>前附表</w:t>
      </w:r>
      <w:bookmarkEnd w:id="4"/>
      <w:bookmarkEnd w:id="5"/>
      <w:bookmarkStart w:id="6" w:name="_Toc183786414"/>
      <w:bookmarkStart w:id="7" w:name="_Toc118516210"/>
      <w:bookmarkStart w:id="8" w:name="_Toc171394914"/>
    </w:p>
    <w:tbl>
      <w:tblPr>
        <w:tblStyle w:val="33"/>
        <w:tblW w:w="9700"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19"/>
        <w:gridCol w:w="1504"/>
        <w:gridCol w:w="7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283" w:hRule="atLeast"/>
          <w:tblHeader/>
        </w:trPr>
        <w:tc>
          <w:tcPr>
            <w:tcW w:w="619" w:type="dxa"/>
            <w:tcBorders>
              <w:top w:val="single" w:color="auto" w:sz="8" w:space="0"/>
            </w:tcBorders>
            <w:vAlign w:val="center"/>
          </w:tcPr>
          <w:p>
            <w:pPr>
              <w:autoSpaceDE w:val="0"/>
              <w:autoSpaceDN w:val="0"/>
              <w:adjustRightInd w:val="0"/>
              <w:snapToGrid w:val="0"/>
              <w:spacing w:after="0"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504" w:type="dxa"/>
            <w:tcBorders>
              <w:top w:val="single" w:color="auto" w:sz="8" w:space="0"/>
            </w:tcBorders>
            <w:vAlign w:val="center"/>
          </w:tcPr>
          <w:p>
            <w:pPr>
              <w:autoSpaceDE w:val="0"/>
              <w:autoSpaceDN w:val="0"/>
              <w:adjustRightInd w:val="0"/>
              <w:snapToGrid w:val="0"/>
              <w:spacing w:after="0"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7577" w:type="dxa"/>
            <w:tcBorders>
              <w:top w:val="single" w:color="auto" w:sz="8" w:space="0"/>
            </w:tcBorders>
            <w:vAlign w:val="center"/>
          </w:tcPr>
          <w:p>
            <w:pPr>
              <w:autoSpaceDE w:val="0"/>
              <w:autoSpaceDN w:val="0"/>
              <w:adjustRightInd w:val="0"/>
              <w:snapToGrid w:val="0"/>
              <w:spacing w:after="0" w:line="3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2"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1504"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项目名称</w:t>
            </w:r>
          </w:p>
        </w:tc>
        <w:tc>
          <w:tcPr>
            <w:tcW w:w="7577" w:type="dxa"/>
            <w:vAlign w:val="center"/>
          </w:tcPr>
          <w:p>
            <w:pPr>
              <w:adjustRightInd w:val="0"/>
              <w:snapToGrid w:val="0"/>
              <w:spacing w:after="0" w:line="360" w:lineRule="exact"/>
              <w:rPr>
                <w:rFonts w:ascii="宋体" w:hAnsi="宋体" w:cs="宋体"/>
                <w:snapToGrid w:val="0"/>
                <w:color w:val="auto"/>
                <w:sz w:val="22"/>
                <w:szCs w:val="22"/>
                <w:highlight w:val="none"/>
              </w:rPr>
            </w:pPr>
            <w:r>
              <w:rPr>
                <w:rFonts w:hint="eastAsia" w:ascii="宋体" w:hAnsi="宋体" w:cs="宋体"/>
                <w:color w:val="auto"/>
                <w:sz w:val="22"/>
                <w:szCs w:val="22"/>
                <w:highlight w:val="none"/>
              </w:rPr>
              <w:t>温州市“松台别业”展陈项目。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1504"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项目编号</w:t>
            </w:r>
          </w:p>
        </w:tc>
        <w:tc>
          <w:tcPr>
            <w:tcW w:w="7577" w:type="dxa"/>
            <w:vAlign w:val="center"/>
          </w:tcPr>
          <w:p>
            <w:pPr>
              <w:adjustRightInd w:val="0"/>
              <w:snapToGrid w:val="0"/>
              <w:spacing w:after="0" w:line="360" w:lineRule="exact"/>
              <w:rPr>
                <w:rFonts w:hint="eastAsia" w:ascii="宋体" w:hAnsi="宋体" w:eastAsia="宋体" w:cs="宋体"/>
                <w:snapToGrid w:val="0"/>
                <w:color w:val="auto"/>
                <w:sz w:val="22"/>
                <w:szCs w:val="22"/>
                <w:highlight w:val="none"/>
                <w:lang w:eastAsia="zh-CN"/>
              </w:rPr>
            </w:pPr>
            <w:r>
              <w:rPr>
                <w:rFonts w:hint="eastAsia" w:ascii="宋体" w:hAnsi="宋体" w:cs="宋体"/>
                <w:snapToGrid w:val="0"/>
                <w:color w:val="auto"/>
                <w:sz w:val="22"/>
                <w:szCs w:val="22"/>
                <w:highlight w:val="none"/>
                <w:lang w:eastAsia="zh-CN"/>
              </w:rPr>
              <w:t>WZUZFFS-JZCS-20230003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3</w:t>
            </w:r>
          </w:p>
        </w:tc>
        <w:tc>
          <w:tcPr>
            <w:tcW w:w="1504"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资金来源及预算</w:t>
            </w:r>
          </w:p>
        </w:tc>
        <w:tc>
          <w:tcPr>
            <w:tcW w:w="7577" w:type="dxa"/>
            <w:vAlign w:val="center"/>
          </w:tcPr>
          <w:p>
            <w:pPr>
              <w:adjustRightInd w:val="0"/>
              <w:snapToGrid w:val="0"/>
              <w:spacing w:after="0" w:line="360" w:lineRule="exact"/>
              <w:rPr>
                <w:rFonts w:ascii="宋体" w:hAnsi="宋体" w:cs="宋体"/>
                <w:snapToGrid w:val="0"/>
                <w:color w:val="auto"/>
                <w:sz w:val="22"/>
                <w:szCs w:val="22"/>
                <w:highlight w:val="none"/>
                <w:u w:val="single"/>
              </w:rPr>
            </w:pPr>
            <w:r>
              <w:rPr>
                <w:rFonts w:hint="eastAsia" w:ascii="宋体" w:hAnsi="宋体" w:cs="宋体"/>
                <w:snapToGrid w:val="0"/>
                <w:color w:val="auto"/>
                <w:sz w:val="22"/>
                <w:szCs w:val="22"/>
                <w:highlight w:val="none"/>
                <w:u w:val="single"/>
              </w:rPr>
              <w:t>▲项目预算3500000元，各阶段超过预算金额的投标无效。</w:t>
            </w:r>
          </w:p>
          <w:p>
            <w:pPr>
              <w:adjustRightInd w:val="0"/>
              <w:snapToGrid w:val="0"/>
              <w:spacing w:after="0" w:line="36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资金来源：财政性资金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4</w:t>
            </w:r>
          </w:p>
        </w:tc>
        <w:tc>
          <w:tcPr>
            <w:tcW w:w="1504"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磋商供应商资格要求</w:t>
            </w:r>
          </w:p>
        </w:tc>
        <w:tc>
          <w:tcPr>
            <w:tcW w:w="7577" w:type="dxa"/>
            <w:vAlign w:val="center"/>
          </w:tcPr>
          <w:p>
            <w:pPr>
              <w:adjustRightInd w:val="0"/>
              <w:snapToGrid w:val="0"/>
              <w:spacing w:after="0" w:line="36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详见第一部分 采购邀请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5</w:t>
            </w:r>
          </w:p>
        </w:tc>
        <w:tc>
          <w:tcPr>
            <w:tcW w:w="1504" w:type="dxa"/>
            <w:vAlign w:val="center"/>
          </w:tcPr>
          <w:p>
            <w:pPr>
              <w:adjustRightInd w:val="0"/>
              <w:snapToGrid w:val="0"/>
              <w:spacing w:after="0" w:line="360" w:lineRule="exact"/>
              <w:jc w:val="center"/>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是否接受联合体投标</w:t>
            </w:r>
          </w:p>
        </w:tc>
        <w:tc>
          <w:tcPr>
            <w:tcW w:w="7577" w:type="dxa"/>
            <w:vAlign w:val="center"/>
          </w:tcPr>
          <w:p>
            <w:pPr>
              <w:adjustRightInd w:val="0"/>
              <w:snapToGrid w:val="0"/>
              <w:spacing w:after="0" w:line="360" w:lineRule="exact"/>
              <w:rPr>
                <w:rFonts w:ascii="宋体" w:hAnsi="宋体" w:cs="宋体"/>
                <w:b/>
                <w:bCs/>
                <w:color w:val="auto"/>
                <w:highlight w:val="none"/>
              </w:rPr>
            </w:pPr>
            <w:r>
              <w:rPr>
                <w:rFonts w:hint="eastAsia" w:ascii="宋体" w:hAnsi="宋体" w:cs="宋体"/>
                <w:b/>
                <w:bCs/>
                <w:color w:val="auto"/>
                <w:highlight w:val="none"/>
              </w:rPr>
              <w:t>接受，但必须满足以下条件：</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1.不超过两个的自然人、法人或者其他组织可以组成一个联合体，以一个供应商的身份共同参加政府采购。</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2.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 xml:space="preserve">3.供应商以联合体形式参加采购活动的，联合体各方中至少应有一方符合磋商文件规定的特定资质条件。如由同一专业的供应商组成的联合体的，评审时应以资质最低的一方为依据。 </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4.联合体中有同类资质的供应商按照联合体分工承担相同工作的，按照资质等级较低的供应商确定资质等级。</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5.联合体各方指定其中一家企业为总承包主体，即为牵头人，由牵头人之法定代表人或其委托代理人为联合体授权代表执行联合体有关的决议，以联合体名义处理与本项目相关的事务。</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6.以联合体形式参加采购活动的，联合体各方不得再单独参加或者与其他供应商另外组成联合体参加同一合同项下的采购活动。</w:t>
            </w:r>
          </w:p>
          <w:p>
            <w:pPr>
              <w:adjustRightInd w:val="0"/>
              <w:snapToGrid w:val="0"/>
              <w:spacing w:after="0" w:line="360" w:lineRule="exact"/>
              <w:ind w:firstLine="442" w:firstLineChars="200"/>
              <w:rPr>
                <w:rFonts w:ascii="宋体" w:hAnsi="宋体" w:cs="宋体"/>
                <w:b/>
                <w:bCs/>
                <w:color w:val="auto"/>
                <w:highlight w:val="none"/>
              </w:rPr>
            </w:pPr>
            <w:r>
              <w:rPr>
                <w:rFonts w:hint="eastAsia" w:ascii="宋体" w:hAnsi="宋体" w:cs="宋体"/>
                <w:b/>
                <w:bCs/>
                <w:snapToGrid w:val="0"/>
                <w:color w:val="auto"/>
                <w:sz w:val="22"/>
                <w:szCs w:val="22"/>
                <w:highlight w:val="none"/>
              </w:rPr>
              <w:t>7.响应文件中需要签章或签字的内容（资格文件等其他另有要求的除外）可只需加盖联合体牵头人有效公章及联合体牵头人授权代表（或其法定代表人）签字或盖章。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6</w:t>
            </w:r>
          </w:p>
        </w:tc>
        <w:tc>
          <w:tcPr>
            <w:tcW w:w="1504" w:type="dxa"/>
            <w:vAlign w:val="center"/>
          </w:tcPr>
          <w:p>
            <w:pPr>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转包</w:t>
            </w:r>
          </w:p>
        </w:tc>
        <w:tc>
          <w:tcPr>
            <w:tcW w:w="7577" w:type="dxa"/>
            <w:vAlign w:val="center"/>
          </w:tcPr>
          <w:p>
            <w:pPr>
              <w:adjustRightInd w:val="0"/>
              <w:snapToGrid w:val="0"/>
              <w:spacing w:after="0" w:line="360" w:lineRule="exact"/>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7</w:t>
            </w:r>
          </w:p>
        </w:tc>
        <w:tc>
          <w:tcPr>
            <w:tcW w:w="1504"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分包</w:t>
            </w:r>
          </w:p>
        </w:tc>
        <w:tc>
          <w:tcPr>
            <w:tcW w:w="7577" w:type="dxa"/>
            <w:vAlign w:val="center"/>
          </w:tcPr>
          <w:p>
            <w:pPr>
              <w:adjustRightInd w:val="0"/>
              <w:snapToGrid w:val="0"/>
              <w:spacing w:after="0" w:line="360" w:lineRule="exact"/>
              <w:ind w:firstLine="442" w:firstLineChars="200"/>
              <w:rPr>
                <w:rFonts w:ascii="宋体" w:hAnsi="宋体" w:cs="宋体"/>
                <w:b/>
                <w:bCs/>
                <w:snapToGrid w:val="0"/>
                <w:color w:val="auto"/>
                <w:sz w:val="22"/>
                <w:szCs w:val="22"/>
                <w:highlight w:val="none"/>
                <w:lang w:val="zh-CN"/>
              </w:rPr>
            </w:pPr>
            <w:r>
              <w:rPr>
                <w:rFonts w:hint="eastAsia" w:ascii="宋体" w:hAnsi="宋体" w:cs="宋体"/>
                <w:b/>
                <w:bCs/>
                <w:snapToGrid w:val="0"/>
                <w:color w:val="auto"/>
                <w:sz w:val="22"/>
                <w:szCs w:val="22"/>
                <w:highlight w:val="none"/>
                <w:lang w:val="zh-CN"/>
              </w:rPr>
              <w:t>供应商根据招标文件的规定和采购项目的实际情况，拟在中标后将中标项目的非主体、非关键性工作分包的，应当在响应文件中载明分包承担主体，分包承担主体应当具备相应资质条件且不得再次分包。</w:t>
            </w:r>
          </w:p>
          <w:p>
            <w:pPr>
              <w:adjustRightInd w:val="0"/>
              <w:snapToGrid w:val="0"/>
              <w:spacing w:after="0" w:line="360" w:lineRule="exact"/>
              <w:ind w:firstLine="442" w:firstLineChars="200"/>
              <w:rPr>
                <w:rFonts w:ascii="宋体" w:hAnsi="宋体" w:cs="宋体"/>
                <w:b/>
                <w:bCs/>
                <w:snapToGrid w:val="0"/>
                <w:color w:val="auto"/>
                <w:sz w:val="22"/>
                <w:szCs w:val="22"/>
                <w:highlight w:val="none"/>
                <w:lang w:val="zh-CN"/>
              </w:rPr>
            </w:pPr>
            <w:r>
              <w:rPr>
                <w:rFonts w:hint="eastAsia" w:ascii="宋体" w:hAnsi="宋体" w:cs="宋体"/>
                <w:b/>
                <w:bCs/>
                <w:snapToGrid w:val="0"/>
                <w:color w:val="auto"/>
                <w:sz w:val="22"/>
                <w:szCs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lang w:val="zh-CN"/>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8</w:t>
            </w:r>
          </w:p>
        </w:tc>
        <w:tc>
          <w:tcPr>
            <w:tcW w:w="1504"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磋商响应备选方案</w:t>
            </w:r>
          </w:p>
        </w:tc>
        <w:tc>
          <w:tcPr>
            <w:tcW w:w="7577" w:type="dxa"/>
            <w:vAlign w:val="center"/>
          </w:tcPr>
          <w:p>
            <w:pPr>
              <w:adjustRightInd w:val="0"/>
              <w:snapToGrid w:val="0"/>
              <w:spacing w:after="0" w:line="36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9</w:t>
            </w:r>
          </w:p>
        </w:tc>
        <w:tc>
          <w:tcPr>
            <w:tcW w:w="1504" w:type="dxa"/>
            <w:vAlign w:val="center"/>
          </w:tcPr>
          <w:p>
            <w:pPr>
              <w:adjustRightInd w:val="0"/>
              <w:snapToGrid w:val="0"/>
              <w:spacing w:after="0" w:line="360" w:lineRule="exact"/>
              <w:jc w:val="center"/>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现场踏勘</w:t>
            </w:r>
          </w:p>
        </w:tc>
        <w:tc>
          <w:tcPr>
            <w:tcW w:w="7577" w:type="dxa"/>
            <w:vAlign w:val="center"/>
          </w:tcPr>
          <w:p>
            <w:pPr>
              <w:adjustRightInd w:val="0"/>
              <w:snapToGrid w:val="0"/>
              <w:spacing w:after="0" w:line="360" w:lineRule="exact"/>
              <w:rPr>
                <w:rFonts w:ascii="宋体" w:hAnsi="宋体" w:cs="宋体"/>
                <w:b/>
                <w:bCs/>
                <w:snapToGrid w:val="0"/>
                <w:color w:val="auto"/>
                <w:sz w:val="22"/>
                <w:szCs w:val="22"/>
                <w:highlight w:val="none"/>
                <w:lang w:val="zh-CN"/>
              </w:rPr>
            </w:pPr>
            <w:r>
              <w:rPr>
                <w:rFonts w:hint="eastAsia" w:ascii="宋体" w:hAnsi="宋体" w:cs="宋体"/>
                <w:b/>
                <w:bCs/>
                <w:snapToGrid w:val="0"/>
                <w:color w:val="auto"/>
                <w:sz w:val="22"/>
                <w:szCs w:val="22"/>
                <w:highlight w:val="none"/>
                <w:lang w:val="zh-CN"/>
              </w:rPr>
              <w:t>组织：</w:t>
            </w:r>
          </w:p>
          <w:p>
            <w:pPr>
              <w:adjustRightInd w:val="0"/>
              <w:snapToGrid w:val="0"/>
              <w:spacing w:after="0" w:line="36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lang w:val="zh-CN"/>
              </w:rPr>
              <w:t>踏勘时间：202</w:t>
            </w:r>
            <w:r>
              <w:rPr>
                <w:rFonts w:hint="eastAsia" w:ascii="宋体" w:hAnsi="宋体" w:cs="宋体"/>
                <w:b/>
                <w:bCs/>
                <w:snapToGrid w:val="0"/>
                <w:color w:val="auto"/>
                <w:sz w:val="22"/>
                <w:szCs w:val="22"/>
                <w:highlight w:val="none"/>
              </w:rPr>
              <w:t>3</w:t>
            </w:r>
            <w:r>
              <w:rPr>
                <w:rFonts w:hint="eastAsia" w:ascii="宋体" w:hAnsi="宋体" w:cs="宋体"/>
                <w:b/>
                <w:bCs/>
                <w:snapToGrid w:val="0"/>
                <w:color w:val="auto"/>
                <w:sz w:val="22"/>
                <w:szCs w:val="22"/>
                <w:highlight w:val="none"/>
                <w:lang w:val="zh-CN"/>
              </w:rPr>
              <w:t>年</w:t>
            </w:r>
            <w:r>
              <w:rPr>
                <w:rFonts w:hint="eastAsia" w:ascii="宋体" w:hAnsi="宋体" w:cs="宋体"/>
                <w:b/>
                <w:bCs/>
                <w:snapToGrid w:val="0"/>
                <w:color w:val="auto"/>
                <w:sz w:val="22"/>
                <w:szCs w:val="22"/>
                <w:highlight w:val="none"/>
              </w:rPr>
              <w:t>07</w:t>
            </w:r>
            <w:r>
              <w:rPr>
                <w:rFonts w:hint="eastAsia" w:ascii="宋体" w:hAnsi="宋体" w:cs="宋体"/>
                <w:b/>
                <w:bCs/>
                <w:snapToGrid w:val="0"/>
                <w:color w:val="auto"/>
                <w:sz w:val="22"/>
                <w:szCs w:val="22"/>
                <w:highlight w:val="none"/>
                <w:lang w:val="zh-CN"/>
              </w:rPr>
              <w:t>月</w:t>
            </w:r>
            <w:r>
              <w:rPr>
                <w:rFonts w:hint="eastAsia" w:ascii="宋体" w:hAnsi="宋体" w:cs="宋体"/>
                <w:b/>
                <w:bCs/>
                <w:snapToGrid w:val="0"/>
                <w:color w:val="auto"/>
                <w:sz w:val="22"/>
                <w:szCs w:val="22"/>
                <w:highlight w:val="none"/>
              </w:rPr>
              <w:t>25</w:t>
            </w:r>
            <w:r>
              <w:rPr>
                <w:rFonts w:hint="eastAsia" w:ascii="宋体" w:hAnsi="宋体" w:cs="宋体"/>
                <w:b/>
                <w:bCs/>
                <w:snapToGrid w:val="0"/>
                <w:color w:val="auto"/>
                <w:sz w:val="22"/>
                <w:szCs w:val="22"/>
                <w:highlight w:val="none"/>
                <w:lang w:val="zh-CN"/>
              </w:rPr>
              <w:t>日</w:t>
            </w:r>
            <w:r>
              <w:rPr>
                <w:rFonts w:hint="eastAsia" w:ascii="宋体" w:hAnsi="宋体" w:cs="宋体"/>
                <w:b/>
                <w:bCs/>
                <w:snapToGrid w:val="0"/>
                <w:color w:val="auto"/>
                <w:sz w:val="22"/>
                <w:szCs w:val="22"/>
                <w:highlight w:val="none"/>
              </w:rPr>
              <w:t>14:00-17:00</w:t>
            </w:r>
          </w:p>
          <w:p>
            <w:pPr>
              <w:adjustRightInd w:val="0"/>
              <w:snapToGrid w:val="0"/>
              <w:spacing w:after="0" w:line="360" w:lineRule="exact"/>
              <w:ind w:firstLine="442" w:firstLineChars="200"/>
              <w:rPr>
                <w:rFonts w:ascii="宋体" w:hAnsi="宋体" w:cs="宋体"/>
                <w:b/>
                <w:bCs/>
                <w:snapToGrid w:val="0"/>
                <w:color w:val="auto"/>
                <w:sz w:val="22"/>
                <w:szCs w:val="22"/>
                <w:highlight w:val="none"/>
                <w:lang w:val="zh-CN"/>
              </w:rPr>
            </w:pPr>
            <w:r>
              <w:rPr>
                <w:rFonts w:hint="eastAsia" w:ascii="宋体" w:hAnsi="宋体" w:cs="宋体"/>
                <w:b/>
                <w:bCs/>
                <w:snapToGrid w:val="0"/>
                <w:color w:val="auto"/>
                <w:sz w:val="22"/>
                <w:szCs w:val="22"/>
                <w:highlight w:val="none"/>
                <w:lang w:val="zh-CN"/>
              </w:rPr>
              <w:t>踏勘地点：温州古城西南，九山公园九山湖落霞潭东侧、温州七中西北角</w:t>
            </w:r>
          </w:p>
          <w:p>
            <w:pPr>
              <w:adjustRightInd w:val="0"/>
              <w:snapToGrid w:val="0"/>
              <w:spacing w:after="0" w:line="360" w:lineRule="exact"/>
              <w:ind w:firstLine="442" w:firstLineChars="200"/>
              <w:rPr>
                <w:rFonts w:ascii="宋体" w:hAnsi="宋体" w:cs="宋体"/>
                <w:b/>
                <w:bCs/>
                <w:snapToGrid w:val="0"/>
                <w:color w:val="auto"/>
                <w:sz w:val="22"/>
                <w:szCs w:val="22"/>
                <w:highlight w:val="none"/>
                <w:lang w:val="zh-CN"/>
              </w:rPr>
            </w:pPr>
            <w:r>
              <w:rPr>
                <w:rFonts w:hint="eastAsia" w:ascii="宋体" w:hAnsi="宋体" w:cs="宋体"/>
                <w:b/>
                <w:bCs/>
                <w:snapToGrid w:val="0"/>
                <w:color w:val="auto"/>
                <w:sz w:val="22"/>
                <w:szCs w:val="22"/>
                <w:highlight w:val="none"/>
                <w:lang w:val="zh-CN"/>
              </w:rPr>
              <w:t>供应商自行前往项目现场进行踏勘，</w:t>
            </w:r>
            <w:r>
              <w:rPr>
                <w:rFonts w:hint="eastAsia" w:ascii="宋体" w:hAnsi="宋体" w:cs="宋体"/>
                <w:b/>
                <w:bCs/>
                <w:snapToGrid w:val="0"/>
                <w:color w:val="auto"/>
                <w:sz w:val="22"/>
                <w:szCs w:val="22"/>
                <w:highlight w:val="none"/>
              </w:rPr>
              <w:t>供应商</w:t>
            </w:r>
            <w:r>
              <w:rPr>
                <w:rFonts w:hint="eastAsia" w:ascii="宋体" w:hAnsi="宋体" w:cs="宋体"/>
                <w:b/>
                <w:bCs/>
                <w:snapToGrid w:val="0"/>
                <w:color w:val="auto"/>
                <w:sz w:val="22"/>
                <w:szCs w:val="22"/>
                <w:highlight w:val="none"/>
                <w:lang w:val="zh-CN"/>
              </w:rPr>
              <w:t>因现场踏勘影响投标报价、方案编制的，由</w:t>
            </w:r>
            <w:r>
              <w:rPr>
                <w:rFonts w:hint="eastAsia" w:ascii="宋体" w:hAnsi="宋体" w:cs="宋体"/>
                <w:b/>
                <w:bCs/>
                <w:snapToGrid w:val="0"/>
                <w:color w:val="auto"/>
                <w:sz w:val="22"/>
                <w:szCs w:val="22"/>
                <w:highlight w:val="none"/>
              </w:rPr>
              <w:t>供应商</w:t>
            </w:r>
            <w:r>
              <w:rPr>
                <w:rFonts w:hint="eastAsia" w:ascii="宋体" w:hAnsi="宋体" w:cs="宋体"/>
                <w:b/>
                <w:bCs/>
                <w:snapToGrid w:val="0"/>
                <w:color w:val="auto"/>
                <w:sz w:val="22"/>
                <w:szCs w:val="22"/>
                <w:highlight w:val="none"/>
                <w:lang w:val="zh-CN"/>
              </w:rPr>
              <w:t>自行承担。</w:t>
            </w:r>
            <w:r>
              <w:rPr>
                <w:rFonts w:hint="eastAsia" w:ascii="宋体" w:hAnsi="宋体" w:cs="宋体"/>
                <w:b/>
                <w:bCs/>
                <w:snapToGrid w:val="0"/>
                <w:color w:val="auto"/>
                <w:sz w:val="22"/>
                <w:szCs w:val="22"/>
                <w:highlight w:val="none"/>
              </w:rPr>
              <w:t>供应商</w:t>
            </w:r>
            <w:r>
              <w:rPr>
                <w:rFonts w:hint="eastAsia" w:ascii="宋体" w:hAnsi="宋体" w:cs="宋体"/>
                <w:b/>
                <w:bCs/>
                <w:snapToGrid w:val="0"/>
                <w:color w:val="auto"/>
                <w:sz w:val="22"/>
                <w:szCs w:val="22"/>
                <w:highlight w:val="none"/>
                <w:lang w:val="zh-CN"/>
              </w:rPr>
              <w:t>除图纸或者磋商文件缺陷等原因外，因供应商自身不能参加现场勘察或现场踏勘不全面的，供应商不得因此提出修改投标报价或提出索赔等要求。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10</w:t>
            </w:r>
          </w:p>
        </w:tc>
        <w:tc>
          <w:tcPr>
            <w:tcW w:w="1504"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报价要求</w:t>
            </w:r>
          </w:p>
        </w:tc>
        <w:tc>
          <w:tcPr>
            <w:tcW w:w="7577" w:type="dxa"/>
            <w:vAlign w:val="center"/>
          </w:tcPr>
          <w:p>
            <w:pPr>
              <w:adjustRightInd w:val="0"/>
              <w:snapToGrid w:val="0"/>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pPr>
              <w:adjustRightInd w:val="0"/>
              <w:snapToGrid w:val="0"/>
              <w:spacing w:after="0" w:line="360" w:lineRule="exact"/>
              <w:rPr>
                <w:rFonts w:ascii="宋体" w:hAnsi="宋体" w:cs="宋体"/>
                <w:color w:val="auto"/>
                <w:sz w:val="22"/>
                <w:szCs w:val="22"/>
                <w:highlight w:val="none"/>
              </w:rPr>
            </w:pPr>
            <w:r>
              <w:rPr>
                <w:rFonts w:hint="eastAsia" w:ascii="宋体" w:hAnsi="宋体" w:cs="宋体"/>
                <w:color w:val="auto"/>
                <w:kern w:val="0"/>
                <w:sz w:val="22"/>
                <w:szCs w:val="22"/>
                <w:highlight w:val="none"/>
                <w:lang w:val="zh-CN"/>
              </w:rPr>
              <w:t>投标报价是指一次性报出不得更改的价格</w:t>
            </w:r>
            <w:r>
              <w:rPr>
                <w:rFonts w:hint="eastAsia" w:ascii="宋体" w:hAnsi="宋体" w:cs="宋体"/>
                <w:snapToGrid w:val="0"/>
                <w:color w:val="auto"/>
                <w:sz w:val="22"/>
                <w:szCs w:val="22"/>
                <w:highlight w:val="none"/>
              </w:rPr>
              <w:t>。</w:t>
            </w:r>
          </w:p>
          <w:p>
            <w:pPr>
              <w:adjustRightInd w:val="0"/>
              <w:snapToGrid w:val="0"/>
              <w:spacing w:after="0" w:line="360" w:lineRule="exact"/>
              <w:rPr>
                <w:rFonts w:ascii="宋体" w:hAnsi="宋体" w:cs="宋体"/>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p>
            <w:pPr>
              <w:adjustRightInd w:val="0"/>
              <w:snapToGrid w:val="0"/>
              <w:spacing w:after="0" w:line="36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竞争性磋商以最后报价为合同价。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11</w:t>
            </w:r>
          </w:p>
        </w:tc>
        <w:tc>
          <w:tcPr>
            <w:tcW w:w="1504" w:type="dxa"/>
            <w:vAlign w:val="center"/>
          </w:tcPr>
          <w:p>
            <w:pPr>
              <w:pStyle w:val="16"/>
              <w:snapToGrid w:val="0"/>
              <w:spacing w:after="0" w:line="360" w:lineRule="exact"/>
              <w:ind w:firstLine="0"/>
              <w:jc w:val="center"/>
              <w:rPr>
                <w:rFonts w:hAnsi="宋体" w:cs="宋体"/>
                <w:snapToGrid w:val="0"/>
                <w:color w:val="auto"/>
                <w:kern w:val="2"/>
                <w:sz w:val="22"/>
                <w:szCs w:val="22"/>
                <w:highlight w:val="none"/>
              </w:rPr>
            </w:pPr>
            <w:r>
              <w:rPr>
                <w:rFonts w:hint="eastAsia" w:hAnsi="宋体" w:cs="宋体"/>
                <w:snapToGrid w:val="0"/>
                <w:color w:val="auto"/>
                <w:kern w:val="2"/>
                <w:sz w:val="22"/>
                <w:szCs w:val="22"/>
                <w:highlight w:val="none"/>
              </w:rPr>
              <w:t>磋商有效期</w:t>
            </w:r>
          </w:p>
        </w:tc>
        <w:tc>
          <w:tcPr>
            <w:tcW w:w="7577" w:type="dxa"/>
            <w:vAlign w:val="center"/>
          </w:tcPr>
          <w:p>
            <w:pPr>
              <w:pStyle w:val="16"/>
              <w:snapToGrid w:val="0"/>
              <w:spacing w:after="0" w:line="360" w:lineRule="exact"/>
              <w:ind w:firstLine="0"/>
              <w:rPr>
                <w:rFonts w:hAnsi="宋体" w:cs="宋体"/>
                <w:snapToGrid w:val="0"/>
                <w:color w:val="auto"/>
                <w:kern w:val="2"/>
                <w:sz w:val="22"/>
                <w:szCs w:val="22"/>
                <w:highlight w:val="none"/>
              </w:rPr>
            </w:pPr>
            <w:r>
              <w:rPr>
                <w:rFonts w:hint="eastAsia" w:hAnsi="宋体" w:cs="宋体"/>
                <w:snapToGrid w:val="0"/>
                <w:color w:val="auto"/>
                <w:kern w:val="2"/>
                <w:sz w:val="22"/>
                <w:szCs w:val="22"/>
                <w:highlight w:val="none"/>
              </w:rPr>
              <w:t>自</w:t>
            </w:r>
            <w:r>
              <w:rPr>
                <w:rFonts w:hint="eastAsia" w:hAnsi="宋体" w:cs="宋体"/>
                <w:bCs/>
                <w:snapToGrid w:val="0"/>
                <w:color w:val="auto"/>
                <w:kern w:val="2"/>
                <w:sz w:val="22"/>
                <w:szCs w:val="22"/>
                <w:highlight w:val="none"/>
              </w:rPr>
              <w:t>响应文件提交截止时间</w:t>
            </w:r>
            <w:r>
              <w:rPr>
                <w:rFonts w:hint="eastAsia" w:hAnsi="宋体" w:cs="宋体"/>
                <w:snapToGrid w:val="0"/>
                <w:color w:val="auto"/>
                <w:kern w:val="2"/>
                <w:sz w:val="22"/>
                <w:szCs w:val="22"/>
                <w:highlight w:val="none"/>
              </w:rPr>
              <w:t>起：90日历天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12</w:t>
            </w:r>
          </w:p>
        </w:tc>
        <w:tc>
          <w:tcPr>
            <w:tcW w:w="1504" w:type="dxa"/>
            <w:vAlign w:val="center"/>
          </w:tcPr>
          <w:p>
            <w:pPr>
              <w:pStyle w:val="16"/>
              <w:snapToGrid w:val="0"/>
              <w:spacing w:after="0" w:line="360" w:lineRule="exact"/>
              <w:ind w:firstLine="0"/>
              <w:jc w:val="center"/>
              <w:rPr>
                <w:rFonts w:hAnsi="宋体" w:cs="宋体"/>
                <w:snapToGrid w:val="0"/>
                <w:color w:val="auto"/>
                <w:kern w:val="2"/>
                <w:sz w:val="22"/>
                <w:szCs w:val="22"/>
                <w:highlight w:val="none"/>
              </w:rPr>
            </w:pPr>
            <w:r>
              <w:rPr>
                <w:rFonts w:hint="eastAsia" w:hAnsi="宋体" w:cs="宋体"/>
                <w:snapToGrid w:val="0"/>
                <w:color w:val="auto"/>
                <w:kern w:val="2"/>
                <w:sz w:val="22"/>
                <w:szCs w:val="22"/>
                <w:highlight w:val="none"/>
              </w:rPr>
              <w:t>磋商保证金</w:t>
            </w:r>
          </w:p>
        </w:tc>
        <w:tc>
          <w:tcPr>
            <w:tcW w:w="7577" w:type="dxa"/>
            <w:vAlign w:val="center"/>
          </w:tcPr>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lang w:val="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13</w:t>
            </w:r>
          </w:p>
        </w:tc>
        <w:tc>
          <w:tcPr>
            <w:tcW w:w="1504" w:type="dxa"/>
            <w:vAlign w:val="center"/>
          </w:tcPr>
          <w:p>
            <w:pPr>
              <w:snapToGrid w:val="0"/>
              <w:spacing w:after="0" w:line="360" w:lineRule="exact"/>
              <w:jc w:val="center"/>
              <w:rPr>
                <w:rFonts w:ascii="宋体" w:hAnsi="宋体" w:cs="宋体"/>
                <w:b/>
                <w:bCs/>
                <w:snapToGrid w:val="0"/>
                <w:color w:val="auto"/>
                <w:sz w:val="22"/>
                <w:szCs w:val="22"/>
                <w:highlight w:val="none"/>
              </w:rPr>
            </w:pPr>
            <w:r>
              <w:rPr>
                <w:rFonts w:hint="eastAsia" w:ascii="宋体" w:hAnsi="宋体" w:cs="宋体"/>
                <w:color w:val="auto"/>
                <w:kern w:val="0"/>
                <w:sz w:val="22"/>
                <w:szCs w:val="22"/>
                <w:highlight w:val="none"/>
              </w:rPr>
              <w:t>响应文件形式、制作及组成</w:t>
            </w:r>
          </w:p>
        </w:tc>
        <w:tc>
          <w:tcPr>
            <w:tcW w:w="7577" w:type="dxa"/>
            <w:vAlign w:val="center"/>
          </w:tcPr>
          <w:p>
            <w:pPr>
              <w:pStyle w:val="8"/>
              <w:snapToGrid w:val="0"/>
              <w:spacing w:after="0" w:line="360" w:lineRule="exact"/>
              <w:rPr>
                <w:rFonts w:hAnsi="宋体" w:cs="宋体"/>
                <w:b/>
                <w:bCs/>
                <w:snapToGrid/>
                <w:color w:val="auto"/>
                <w:sz w:val="22"/>
                <w:szCs w:val="22"/>
                <w:highlight w:val="none"/>
              </w:rPr>
            </w:pPr>
            <w:r>
              <w:rPr>
                <w:rFonts w:hint="eastAsia" w:hAnsi="宋体" w:cs="宋体"/>
                <w:b/>
                <w:bCs/>
                <w:snapToGrid/>
                <w:color w:val="auto"/>
                <w:sz w:val="22"/>
                <w:szCs w:val="22"/>
                <w:highlight w:val="none"/>
              </w:rPr>
              <w:t>本项目实行网上电子投标。</w:t>
            </w:r>
          </w:p>
          <w:p>
            <w:pPr>
              <w:pStyle w:val="8"/>
              <w:snapToGrid w:val="0"/>
              <w:spacing w:after="0" w:line="360" w:lineRule="exact"/>
              <w:rPr>
                <w:rFonts w:hAnsi="宋体" w:cs="宋体"/>
                <w:b/>
                <w:bCs/>
                <w:snapToGrid/>
                <w:color w:val="auto"/>
                <w:sz w:val="22"/>
                <w:szCs w:val="22"/>
                <w:highlight w:val="none"/>
              </w:rPr>
            </w:pPr>
            <w:r>
              <w:rPr>
                <w:rFonts w:hint="eastAsia" w:hAnsi="宋体" w:cs="宋体"/>
                <w:b/>
                <w:bCs/>
                <w:snapToGrid/>
                <w:color w:val="auto"/>
                <w:sz w:val="22"/>
                <w:szCs w:val="22"/>
                <w:highlight w:val="none"/>
              </w:rPr>
              <w:t>供应商应准备电子响应文件、以介质存储的数据电文形式的备份响应文件二类：</w:t>
            </w:r>
          </w:p>
          <w:p>
            <w:pPr>
              <w:pStyle w:val="8"/>
              <w:snapToGrid w:val="0"/>
              <w:spacing w:after="0" w:line="360" w:lineRule="exact"/>
              <w:ind w:firstLine="221" w:firstLineChars="100"/>
              <w:rPr>
                <w:rFonts w:hAnsi="宋体" w:cs="宋体"/>
                <w:b/>
                <w:bCs/>
                <w:snapToGrid/>
                <w:color w:val="auto"/>
                <w:sz w:val="22"/>
                <w:szCs w:val="22"/>
                <w:highlight w:val="none"/>
              </w:rPr>
            </w:pPr>
            <w:r>
              <w:rPr>
                <w:rFonts w:hint="eastAsia" w:hAnsi="宋体" w:cs="宋体"/>
                <w:b/>
                <w:bCs/>
                <w:snapToGrid/>
                <w:color w:val="auto"/>
                <w:sz w:val="22"/>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snapToGrid/>
                <w:color w:val="auto"/>
                <w:sz w:val="22"/>
                <w:szCs w:val="22"/>
                <w:highlight w:val="none"/>
                <w:lang w:val="zh-CN"/>
              </w:rPr>
              <w:t>。</w:t>
            </w:r>
          </w:p>
          <w:p>
            <w:pPr>
              <w:spacing w:after="0" w:line="360" w:lineRule="exact"/>
              <w:ind w:firstLine="221" w:firstLineChars="100"/>
              <w:rPr>
                <w:rStyle w:val="36"/>
                <w:rFonts w:ascii="宋体" w:hAnsi="宋体" w:cs="宋体"/>
                <w:bCs/>
                <w:color w:val="auto"/>
                <w:sz w:val="22"/>
                <w:szCs w:val="22"/>
                <w:highlight w:val="none"/>
              </w:rPr>
            </w:pPr>
            <w:r>
              <w:rPr>
                <w:rFonts w:hint="eastAsia" w:ascii="宋体" w:hAnsi="宋体" w:cs="宋体"/>
                <w:b/>
                <w:bCs/>
                <w:color w:val="auto"/>
                <w:sz w:val="22"/>
                <w:szCs w:val="22"/>
                <w:highlight w:val="none"/>
              </w:rPr>
              <w:t>(2)以介质存储的数据电文形式的备份响应文件：</w:t>
            </w:r>
            <w:r>
              <w:rPr>
                <w:rStyle w:val="36"/>
                <w:rFonts w:hint="eastAsia" w:ascii="宋体" w:hAnsi="宋体" w:cs="宋体"/>
                <w:bCs/>
                <w:color w:val="auto"/>
                <w:sz w:val="22"/>
                <w:szCs w:val="22"/>
                <w:highlight w:val="none"/>
              </w:rPr>
              <w:t>与“电子响应文件”同时生成的数据电文形式的备份响应文件(文件扩展名为.bfbs)</w:t>
            </w:r>
            <w:r>
              <w:rPr>
                <w:rFonts w:hint="eastAsia" w:ascii="宋体" w:hAnsi="宋体" w:cs="宋体"/>
                <w:b/>
                <w:bCs/>
                <w:color w:val="auto"/>
                <w:sz w:val="22"/>
                <w:szCs w:val="22"/>
                <w:highlight w:val="none"/>
              </w:rPr>
              <w:t>，响应文件提交截止时间前以</w:t>
            </w:r>
            <w:r>
              <w:rPr>
                <w:rFonts w:hint="eastAsia" w:ascii="宋体" w:hAnsi="宋体" w:cs="宋体"/>
                <w:b/>
                <w:bCs/>
                <w:color w:val="auto"/>
                <w:sz w:val="22"/>
                <w:szCs w:val="22"/>
                <w:highlight w:val="none"/>
                <w:lang w:val="zh-CN"/>
              </w:rPr>
              <w:t>电子邮件方式传送至浙江乐诚工程咨询有限公司电子邮箱</w:t>
            </w:r>
            <w:r>
              <w:rPr>
                <w:rFonts w:hint="eastAsia" w:ascii="宋体" w:hAnsi="宋体" w:cs="宋体"/>
                <w:b/>
                <w:bCs/>
                <w:color w:val="auto"/>
                <w:sz w:val="22"/>
                <w:szCs w:val="22"/>
                <w:highlight w:val="none"/>
              </w:rPr>
              <w:t>2812799762@qq.com，</w:t>
            </w:r>
            <w:r>
              <w:rPr>
                <w:rFonts w:hint="eastAsia" w:ascii="宋体" w:hAnsi="宋体" w:cs="宋体"/>
                <w:b/>
                <w:bCs/>
                <w:color w:val="auto"/>
                <w:sz w:val="22"/>
                <w:szCs w:val="22"/>
                <w:highlight w:val="none"/>
                <w:lang w:val="zh-CN"/>
              </w:rPr>
              <w:t>递交</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CN"/>
              </w:rPr>
              <w:t>份</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传送的备份响应文件需打包压缩并加密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加密密码由供应商自行保管</w:t>
            </w:r>
            <w:r>
              <w:rPr>
                <w:rFonts w:hint="eastAsia" w:ascii="宋体" w:hAnsi="宋体" w:cs="宋体"/>
                <w:b/>
                <w:bCs/>
                <w:color w:val="auto"/>
                <w:sz w:val="22"/>
                <w:szCs w:val="22"/>
                <w:highlight w:val="none"/>
              </w:rPr>
              <w:t>，未加密导致投标信息泄露的风险由供应商自行承担。</w:t>
            </w:r>
          </w:p>
          <w:p>
            <w:pPr>
              <w:pStyle w:val="8"/>
              <w:snapToGrid w:val="0"/>
              <w:spacing w:after="0" w:line="360" w:lineRule="exact"/>
              <w:rPr>
                <w:rFonts w:hAnsi="宋体" w:cs="宋体"/>
                <w:b/>
                <w:bCs/>
                <w:snapToGrid/>
                <w:color w:val="auto"/>
                <w:sz w:val="22"/>
                <w:szCs w:val="22"/>
                <w:highlight w:val="none"/>
              </w:rPr>
            </w:pPr>
            <w:r>
              <w:rPr>
                <w:rFonts w:hint="eastAsia" w:hAnsi="宋体" w:cs="宋体"/>
                <w:b/>
                <w:bCs/>
                <w:snapToGrid/>
                <w:color w:val="auto"/>
                <w:sz w:val="22"/>
                <w:szCs w:val="22"/>
                <w:highlight w:val="none"/>
              </w:rPr>
              <w:t>响应文件由报价文件、</w:t>
            </w:r>
            <w:r>
              <w:rPr>
                <w:rFonts w:hint="eastAsia" w:hAnsi="宋体" w:cs="宋体"/>
                <w:b/>
                <w:snapToGrid/>
                <w:color w:val="auto"/>
                <w:sz w:val="22"/>
                <w:szCs w:val="22"/>
                <w:highlight w:val="none"/>
              </w:rPr>
              <w:t>资格文件、商务和</w:t>
            </w:r>
            <w:r>
              <w:rPr>
                <w:rFonts w:hint="eastAsia" w:hAnsi="宋体" w:cs="宋体"/>
                <w:b/>
                <w:bCs/>
                <w:snapToGrid/>
                <w:color w:val="auto"/>
                <w:sz w:val="22"/>
                <w:szCs w:val="22"/>
                <w:highlight w:val="none"/>
              </w:rPr>
              <w:t>技术文件三部分组成。</w:t>
            </w:r>
          </w:p>
          <w:p>
            <w:pPr>
              <w:pStyle w:val="8"/>
              <w:snapToGrid w:val="0"/>
              <w:spacing w:after="0" w:line="360" w:lineRule="exact"/>
              <w:rPr>
                <w:rFonts w:hAnsi="宋体" w:cs="宋体"/>
                <w:b/>
                <w:bCs/>
                <w:snapToGrid/>
                <w:color w:val="auto"/>
                <w:sz w:val="22"/>
                <w:szCs w:val="22"/>
                <w:highlight w:val="none"/>
              </w:rPr>
            </w:pPr>
            <w:r>
              <w:rPr>
                <w:rFonts w:hint="eastAsia" w:hAnsi="宋体" w:cs="宋体"/>
                <w:b/>
                <w:bCs/>
                <w:snapToGrid/>
                <w:color w:val="auto"/>
                <w:sz w:val="22"/>
                <w:szCs w:val="22"/>
                <w:highlight w:val="none"/>
              </w:rPr>
              <w:t>注：成交供应商在收到成交通知书时按采购人要求提供全套纸质响应文件壹份。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14</w:t>
            </w:r>
          </w:p>
        </w:tc>
        <w:tc>
          <w:tcPr>
            <w:tcW w:w="1504" w:type="dxa"/>
            <w:vAlign w:val="center"/>
          </w:tcPr>
          <w:p>
            <w:pPr>
              <w:spacing w:after="0"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磋商地点</w:t>
            </w:r>
          </w:p>
        </w:tc>
        <w:tc>
          <w:tcPr>
            <w:tcW w:w="7577" w:type="dxa"/>
            <w:vAlign w:val="center"/>
          </w:tcPr>
          <w:p>
            <w:p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温州大学茶山南校区行政楼516A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15</w:t>
            </w:r>
          </w:p>
        </w:tc>
        <w:tc>
          <w:tcPr>
            <w:tcW w:w="1504" w:type="dxa"/>
            <w:vAlign w:val="center"/>
          </w:tcPr>
          <w:p>
            <w:pPr>
              <w:spacing w:after="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电子招投标特殊情况处理方式</w:t>
            </w:r>
          </w:p>
        </w:tc>
        <w:tc>
          <w:tcPr>
            <w:tcW w:w="7577" w:type="dxa"/>
            <w:vAlign w:val="center"/>
          </w:tcPr>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本项目原则上采用政采云电子招投标开标及评审程序，但有以下情形之一的，按以下情况处理：</w:t>
            </w:r>
          </w:p>
          <w:p>
            <w:pPr>
              <w:spacing w:after="0" w:line="360" w:lineRule="exact"/>
              <w:rPr>
                <w:rFonts w:ascii="宋体" w:hAnsi="宋体" w:cs="宋体"/>
                <w:snapToGrid w:val="0"/>
                <w:color w:val="auto"/>
                <w:sz w:val="22"/>
                <w:szCs w:val="22"/>
                <w:highlight w:val="none"/>
              </w:rPr>
            </w:pPr>
            <w:r>
              <w:rPr>
                <w:rFonts w:hint="eastAsia" w:ascii="宋体" w:hAnsi="宋体" w:cs="宋体"/>
                <w:b/>
                <w:bCs/>
                <w:color w:val="auto"/>
                <w:sz w:val="22"/>
                <w:szCs w:val="22"/>
                <w:highlight w:val="none"/>
              </w:rPr>
              <w:t>若供应商在规定时间内无法解密或解密失败，采购代理机构将开启所有供应商递交的以介质存储的数据电文形式的备份响应文件，上传至政采云平台项目采购模块，以完成开标，电子响应文件自动失效。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16</w:t>
            </w:r>
          </w:p>
        </w:tc>
        <w:tc>
          <w:tcPr>
            <w:tcW w:w="1504" w:type="dxa"/>
            <w:vAlign w:val="center"/>
          </w:tcPr>
          <w:p>
            <w:pPr>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磋商小组的组建</w:t>
            </w:r>
          </w:p>
        </w:tc>
        <w:tc>
          <w:tcPr>
            <w:tcW w:w="7577" w:type="dxa"/>
            <w:vAlign w:val="center"/>
          </w:tcPr>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磋商小组由采购人代表和评审专家共3人以上单数组成，其中评审专家人数不得少于磋商小组成员总数的2/3。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17</w:t>
            </w:r>
          </w:p>
        </w:tc>
        <w:tc>
          <w:tcPr>
            <w:tcW w:w="1504" w:type="dxa"/>
            <w:vAlign w:val="center"/>
          </w:tcPr>
          <w:p>
            <w:pPr>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评审方法</w:t>
            </w:r>
          </w:p>
        </w:tc>
        <w:tc>
          <w:tcPr>
            <w:tcW w:w="7577" w:type="dxa"/>
            <w:vAlign w:val="center"/>
          </w:tcPr>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18</w:t>
            </w:r>
          </w:p>
        </w:tc>
        <w:tc>
          <w:tcPr>
            <w:tcW w:w="1504" w:type="dxa"/>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项目属性</w:t>
            </w:r>
          </w:p>
        </w:tc>
        <w:tc>
          <w:tcPr>
            <w:tcW w:w="7577" w:type="dxa"/>
            <w:vAlign w:val="center"/>
          </w:tcPr>
          <w:p>
            <w:pPr>
              <w:spacing w:after="0" w:line="36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服务类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19</w:t>
            </w:r>
          </w:p>
        </w:tc>
        <w:tc>
          <w:tcPr>
            <w:tcW w:w="1504" w:type="dxa"/>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中小企业预留份额情况</w:t>
            </w:r>
          </w:p>
        </w:tc>
        <w:tc>
          <w:tcPr>
            <w:tcW w:w="7577" w:type="dxa"/>
            <w:vAlign w:val="center"/>
          </w:tcPr>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根据《政府采购促进中小企业发展管理办法》财库〔2020〕46号文件的规定，本项目属于预留份额专门面向中小企业采购的项目，不再执行价格评审优惠的扶持政策。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20</w:t>
            </w:r>
          </w:p>
        </w:tc>
        <w:tc>
          <w:tcPr>
            <w:tcW w:w="1504" w:type="dxa"/>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采购标的及其对应的中小企业划分标准所属行业</w:t>
            </w:r>
          </w:p>
        </w:tc>
        <w:tc>
          <w:tcPr>
            <w:tcW w:w="7577" w:type="dxa"/>
            <w:vAlign w:val="center"/>
          </w:tcPr>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1.采购标的：温州市“松台别业”展陈项目         </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2.中小企业划分标准所属行业（具体根据《中小企业划型标准规定》执行）</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所属行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21</w:t>
            </w:r>
          </w:p>
        </w:tc>
        <w:tc>
          <w:tcPr>
            <w:tcW w:w="1504" w:type="dxa"/>
            <w:vAlign w:val="center"/>
          </w:tcPr>
          <w:p>
            <w:pPr>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信用</w:t>
            </w:r>
          </w:p>
        </w:tc>
        <w:tc>
          <w:tcPr>
            <w:tcW w:w="7577" w:type="dxa"/>
            <w:vAlign w:val="center"/>
          </w:tcPr>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根据财库[2016]125号《关于在政府采购活动中查询及使用信用记录有关问题的通知》要求，采购代理机构会对供应商信用记录进行查询并甄别。</w:t>
            </w:r>
          </w:p>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1）信用信息查询的截止时点为从本项目投标截止日往前追溯三年；</w:t>
            </w:r>
          </w:p>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Fonts w:hint="eastAsia" w:ascii="宋体" w:hAnsi="宋体" w:cs="宋体"/>
                <w:snapToGrid w:val="0"/>
                <w:color w:val="auto"/>
                <w:sz w:val="22"/>
                <w:szCs w:val="22"/>
                <w:highlight w:val="none"/>
              </w:rPr>
              <w:t>www.creditchina.gov.cn</w:t>
            </w:r>
            <w:r>
              <w:rPr>
                <w:rFonts w:hint="eastAsia" w:ascii="宋体" w:hAnsi="宋体" w:cs="宋体"/>
                <w:snapToGrid w:val="0"/>
                <w:color w:val="auto"/>
                <w:sz w:val="22"/>
                <w:szCs w:val="22"/>
                <w:highlight w:val="none"/>
              </w:rPr>
              <w:fldChar w:fldCharType="end"/>
            </w:r>
            <w:r>
              <w:rPr>
                <w:rFonts w:hint="eastAsia" w:ascii="宋体" w:hAnsi="宋体" w:cs="宋体"/>
                <w:snapToGrid w:val="0"/>
                <w:color w:val="auto"/>
                <w:sz w:val="22"/>
                <w:szCs w:val="22"/>
                <w:highlight w:val="none"/>
              </w:rPr>
              <w:t>）、“中国政府采购网”（</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"http://www.ccgp.gov.cn" </w:instrText>
            </w:r>
            <w:r>
              <w:rPr>
                <w:rFonts w:hint="eastAsia" w:ascii="宋体" w:hAnsi="宋体" w:cs="宋体"/>
                <w:color w:val="auto"/>
                <w:sz w:val="22"/>
                <w:szCs w:val="22"/>
                <w:highlight w:val="none"/>
              </w:rPr>
              <w:fldChar w:fldCharType="separate"/>
            </w:r>
            <w:r>
              <w:rPr>
                <w:rFonts w:hint="eastAsia" w:ascii="宋体" w:hAnsi="宋体" w:cs="宋体"/>
                <w:snapToGrid w:val="0"/>
                <w:color w:val="auto"/>
                <w:sz w:val="22"/>
                <w:szCs w:val="22"/>
                <w:highlight w:val="none"/>
              </w:rPr>
              <w:t>www.ccgp.gov.cn</w:t>
            </w:r>
            <w:r>
              <w:rPr>
                <w:rFonts w:hint="eastAsia" w:ascii="宋体" w:hAnsi="宋体" w:cs="宋体"/>
                <w:snapToGrid w:val="0"/>
                <w:color w:val="auto"/>
                <w:sz w:val="22"/>
                <w:szCs w:val="22"/>
                <w:highlight w:val="none"/>
              </w:rPr>
              <w:fldChar w:fldCharType="end"/>
            </w:r>
            <w:r>
              <w:rPr>
                <w:rFonts w:hint="eastAsia" w:ascii="宋体" w:hAnsi="宋体" w:cs="宋体"/>
                <w:snapToGrid w:val="0"/>
                <w:color w:val="auto"/>
                <w:sz w:val="22"/>
                <w:szCs w:val="22"/>
                <w:highlight w:val="none"/>
              </w:rPr>
              <w:t>）；</w:t>
            </w:r>
          </w:p>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3）信用信息查询记录和证据留存具体方式：采购代理机构经办人或监督人员将查询网页打印与其他磋商文件一并保存；</w:t>
            </w:r>
          </w:p>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4）信用信息的使用规则：</w:t>
            </w:r>
            <w:r>
              <w:rPr>
                <w:rFonts w:hint="eastAsia" w:ascii="宋体" w:hAnsi="宋体" w:cs="宋体"/>
                <w:b/>
                <w:bCs/>
                <w:snapToGrid w:val="0"/>
                <w:color w:val="auto"/>
                <w:sz w:val="22"/>
                <w:szCs w:val="22"/>
                <w:highlight w:val="none"/>
              </w:rPr>
              <w:t>供应商存在不良信用记录的，其投标无效</w:t>
            </w:r>
            <w:r>
              <w:rPr>
                <w:rFonts w:hint="eastAsia" w:ascii="宋体" w:hAnsi="宋体" w:cs="宋体"/>
                <w:snapToGrid w:val="0"/>
                <w:color w:val="auto"/>
                <w:sz w:val="22"/>
                <w:szCs w:val="22"/>
                <w:highlight w:val="none"/>
              </w:rPr>
              <w:t>。</w:t>
            </w:r>
          </w:p>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不良信用记录指：被列入失信被执行人、重大税收违法案件当事人名单、政府采购严重违法失信行为记录名单。</w:t>
            </w:r>
          </w:p>
          <w:p>
            <w:pPr>
              <w:adjustRightInd w:val="0"/>
              <w:snapToGrid w:val="0"/>
              <w:spacing w:after="0" w:line="360" w:lineRule="exact"/>
              <w:jc w:val="left"/>
              <w:rPr>
                <w:rFonts w:ascii="宋体" w:hAnsi="宋体" w:cs="宋体"/>
                <w:snapToGrid w:val="0"/>
                <w:color w:val="auto"/>
                <w:sz w:val="22"/>
                <w:szCs w:val="22"/>
                <w:highlight w:val="none"/>
              </w:rPr>
            </w:pPr>
            <w:r>
              <w:rPr>
                <w:rFonts w:hint="eastAsia" w:ascii="宋体" w:hAnsi="宋体" w:cs="宋体"/>
                <w:color w:val="auto"/>
                <w:kern w:val="0"/>
                <w:sz w:val="22"/>
                <w:szCs w:val="22"/>
                <w:highlight w:val="none"/>
              </w:rPr>
              <w:t>联合体信用信息查询：联合体以一个供应商的身份共同参加政府采购活动的，应当对所有联合体成员进行信用记录查询，联合体成员存在不良信用记录的，视同联合体存在不良信用记录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2"/>
                <w:szCs w:val="22"/>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22</w:t>
            </w:r>
          </w:p>
        </w:tc>
        <w:tc>
          <w:tcPr>
            <w:tcW w:w="1504" w:type="dxa"/>
            <w:vAlign w:val="center"/>
          </w:tcPr>
          <w:p>
            <w:pPr>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注意事项</w:t>
            </w:r>
          </w:p>
        </w:tc>
        <w:tc>
          <w:tcPr>
            <w:tcW w:w="7577" w:type="dxa"/>
          </w:tcPr>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1）磋商供应商如发现磋商文件及其评审办法中歧视性不公正条款或违法违规等内容时，请于质疑截止日期前同时向采购人、采购代理机构反映，逾期不得再对磋商文件的条款提出质疑。</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质疑或投诉或法院起诉的理由，均属于非法索取的依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619" w:type="dxa"/>
            <w:vAlign w:val="center"/>
          </w:tcPr>
          <w:p>
            <w:pPr>
              <w:autoSpaceDE w:val="0"/>
              <w:autoSpaceDN w:val="0"/>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23</w:t>
            </w:r>
          </w:p>
        </w:tc>
        <w:tc>
          <w:tcPr>
            <w:tcW w:w="1504" w:type="dxa"/>
            <w:vAlign w:val="center"/>
          </w:tcPr>
          <w:p>
            <w:pPr>
              <w:adjustRightInd w:val="0"/>
              <w:snapToGrid w:val="0"/>
              <w:spacing w:after="0" w:line="36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其他</w:t>
            </w:r>
          </w:p>
        </w:tc>
        <w:tc>
          <w:tcPr>
            <w:tcW w:w="7577" w:type="dxa"/>
            <w:vAlign w:val="center"/>
          </w:tcPr>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lang w:val="zh-CN"/>
              </w:rPr>
              <w:t>1）本磋商文件中有关时间安排如有不一致的，一律以本“前附表”为准；</w:t>
            </w:r>
          </w:p>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lang w:val="zh-CN"/>
              </w:rPr>
              <w:t>2）本磋商文件涉及的时间为“北京时间”；</w:t>
            </w:r>
          </w:p>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lang w:val="zh-CN"/>
              </w:rPr>
              <w:t>3）本磋商文件涉及的货币为“人民币”；</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4）竞争性磋商公告是本磋商文件的一部分；</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5）电子投标注意事项：</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5.1供应商必须先在政府采购云平台进行登记注册，相关事宜请参照（《供应商网上注册操作指南》“浙江政府采购网首页-办事指南-注册-供应商注册申请”），登录政府采购云平台后台依法进行网上自主下载。</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5.2本项目实行电子投标，应按照本项目磋商文件和政采云平台的要求编制、加密并递交响应文件。供应商在使用系统进行投标的过程中遇到涉及平台使用的任何问题，可致电政采云平台技术支持热线咨询，联系方式：95763。</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5.3供应商应在开标前完成CA数字证书办理。完成CA数字证书办理预计一周左右，建议各供应商抓紧时间办理。【（目前“政采云”平台仅支持浙江汇信或天谷CA锁，个体工商户投标仅支持浙江汇信CA锁）申领操作流程”】。因未注册入库、未办理CA数字证书等原因造成无法投标或投标失败等后果由供应商自行承担。《CA驱动和申领流程》</w:t>
            </w:r>
            <w:r>
              <w:rPr>
                <w:rFonts w:hint="eastAsia" w:ascii="宋体" w:hAnsi="宋体" w:cs="宋体"/>
                <w:snapToGrid w:val="0"/>
                <w:color w:val="auto"/>
                <w:sz w:val="22"/>
                <w:szCs w:val="22"/>
                <w:highlight w:val="none"/>
                <w:lang w:val="en-US"/>
              </w:rPr>
              <w:t>及</w:t>
            </w:r>
            <w:r>
              <w:rPr>
                <w:rFonts w:hint="eastAsia" w:ascii="宋体" w:hAnsi="宋体" w:cs="宋体"/>
                <w:snapToGrid w:val="0"/>
                <w:color w:val="auto"/>
                <w:sz w:val="22"/>
                <w:szCs w:val="22"/>
                <w:highlight w:val="none"/>
              </w:rPr>
              <w:t>《CA管理操作指南》：</w:t>
            </w:r>
            <w:r>
              <w:rPr>
                <w:rFonts w:hint="eastAsia" w:ascii="宋体" w:hAnsi="宋体" w:cs="宋体"/>
                <w:snapToGrid w:val="0"/>
                <w:color w:val="auto"/>
                <w:sz w:val="22"/>
                <w:szCs w:val="22"/>
                <w:highlight w:val="none"/>
                <w:lang w:val="en-US"/>
              </w:rPr>
              <w:t>浙江政府采购网下载专区下载。</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5.4供应商通过政采云平台电子投标工具制作响应文件，电子投标工具请供应商自行前往浙江省政府采购网下载并安装，（电子交易客户端下载地址：zfcg.czt.zj.gov.cn/bidClientTemplate/2019-09-24/12975.html），电子投标操作指南详见：“https://edu.zcygov.cn/luban/e-biding”。</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5.5供应商可通过浙江省“电子交易/不见面开评标”学习专题提前进行专题学习，熟悉</w:t>
            </w:r>
            <w:r>
              <w:rPr>
                <w:rFonts w:hint="eastAsia" w:ascii="宋体" w:hAnsi="宋体" w:cs="宋体"/>
                <w:snapToGrid w:val="0"/>
                <w:color w:val="auto"/>
                <w:sz w:val="22"/>
                <w:szCs w:val="22"/>
                <w:highlight w:val="none"/>
                <w:lang w:val="zh-CN"/>
              </w:rPr>
              <w:t>操作</w:t>
            </w:r>
            <w:r>
              <w:rPr>
                <w:rFonts w:hint="eastAsia" w:ascii="宋体" w:hAnsi="宋体" w:cs="宋体"/>
                <w:snapToGrid w:val="0"/>
                <w:color w:val="auto"/>
                <w:sz w:val="22"/>
                <w:szCs w:val="22"/>
                <w:highlight w:val="none"/>
              </w:rPr>
              <w:t>，</w:t>
            </w:r>
            <w:r>
              <w:rPr>
                <w:rFonts w:hint="eastAsia" w:ascii="宋体" w:hAnsi="宋体" w:cs="宋体"/>
                <w:snapToGrid w:val="0"/>
                <w:color w:val="auto"/>
                <w:sz w:val="22"/>
                <w:szCs w:val="22"/>
                <w:highlight w:val="none"/>
                <w:lang w:val="zh-CN"/>
              </w:rPr>
              <w:t>避免影响采购活动</w:t>
            </w:r>
            <w:r>
              <w:rPr>
                <w:rFonts w:hint="eastAsia" w:ascii="宋体" w:hAnsi="宋体" w:cs="宋体"/>
                <w:snapToGrid w:val="0"/>
                <w:color w:val="auto"/>
                <w:sz w:val="22"/>
                <w:szCs w:val="22"/>
                <w:highlight w:val="none"/>
              </w:rPr>
              <w:t>（https://edu.zcygov.cn/luban/e-biding）</w:t>
            </w:r>
            <w:r>
              <w:rPr>
                <w:rFonts w:hint="eastAsia" w:ascii="宋体" w:hAnsi="宋体" w:cs="宋体"/>
                <w:snapToGrid w:val="0"/>
                <w:color w:val="auto"/>
                <w:sz w:val="22"/>
                <w:szCs w:val="22"/>
                <w:highlight w:val="none"/>
                <w:lang w:val="zh-CN"/>
              </w:rPr>
              <w:t>。</w:t>
            </w:r>
          </w:p>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rPr>
              <w:t>5.6</w:t>
            </w:r>
            <w:r>
              <w:rPr>
                <w:rFonts w:hint="eastAsia" w:ascii="宋体" w:hAnsi="宋体" w:cs="宋体"/>
                <w:snapToGrid w:val="0"/>
                <w:color w:val="auto"/>
                <w:sz w:val="22"/>
                <w:szCs w:val="22"/>
                <w:highlight w:val="none"/>
                <w:lang w:val="zh-CN"/>
              </w:rPr>
              <w:t>请务必确保响应文件制作客户端为最新版本，旧版本可能导致响应文件解密失败。</w:t>
            </w:r>
          </w:p>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rPr>
              <w:t>5.7</w:t>
            </w:r>
            <w:r>
              <w:rPr>
                <w:rFonts w:hint="eastAsia" w:ascii="宋体" w:hAnsi="宋体" w:cs="宋体"/>
                <w:snapToGrid w:val="0"/>
                <w:color w:val="auto"/>
                <w:sz w:val="22"/>
                <w:szCs w:val="22"/>
                <w:highlight w:val="none"/>
                <w:lang w:val="zh-CN"/>
              </w:rPr>
              <w:t>请务必确保响应文件制作时所用的 CA 锁与响应文件解密时的 CA 锁为同一把，否则可能导致响应文件解密失败。</w:t>
            </w:r>
          </w:p>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rPr>
              <w:t>5.8</w:t>
            </w:r>
            <w:r>
              <w:rPr>
                <w:rFonts w:hint="eastAsia" w:ascii="宋体" w:hAnsi="宋体" w:cs="宋体"/>
                <w:snapToGrid w:val="0"/>
                <w:color w:val="auto"/>
                <w:sz w:val="22"/>
                <w:szCs w:val="22"/>
                <w:highlight w:val="none"/>
                <w:lang w:val="zh-CN"/>
              </w:rPr>
              <w:t>在响应文件解密前，请务必检验 CA 锁与所用电脑的兼容性，部分电脑因 CA 驱动未正常安装、USB 接口兼容性差等原因可能造成响应文件解密失败。</w:t>
            </w:r>
          </w:p>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lang w:val="zh-CN"/>
              </w:rPr>
              <w:t>5.</w:t>
            </w:r>
            <w:r>
              <w:rPr>
                <w:rFonts w:hint="eastAsia" w:ascii="宋体" w:hAnsi="宋体" w:cs="宋体"/>
                <w:snapToGrid w:val="0"/>
                <w:color w:val="auto"/>
                <w:sz w:val="22"/>
                <w:szCs w:val="22"/>
                <w:highlight w:val="none"/>
              </w:rPr>
              <w:t>9</w:t>
            </w:r>
            <w:r>
              <w:rPr>
                <w:rFonts w:hint="eastAsia" w:ascii="宋体" w:hAnsi="宋体" w:cs="宋体"/>
                <w:snapToGrid w:val="0"/>
                <w:color w:val="auto"/>
                <w:sz w:val="22"/>
                <w:szCs w:val="22"/>
                <w:highlight w:val="none"/>
                <w:lang w:val="zh-CN"/>
              </w:rPr>
              <w:t>供应商未按磋商文件规定及提醒操作的，引起的一切后果由供应商自行负责。</w:t>
            </w:r>
          </w:p>
          <w:p>
            <w:pPr>
              <w:adjustRightInd w:val="0"/>
              <w:snapToGrid w:val="0"/>
              <w:spacing w:after="0" w:line="360" w:lineRule="exact"/>
              <w:jc w:val="left"/>
              <w:rPr>
                <w:rFonts w:hint="eastAsia" w:ascii="宋体" w:hAnsi="宋体" w:cs="宋体"/>
                <w:snapToGrid w:val="0"/>
                <w:color w:val="auto"/>
                <w:sz w:val="22"/>
                <w:szCs w:val="22"/>
                <w:highlight w:val="none"/>
                <w:lang w:val="zh-CN"/>
              </w:rPr>
            </w:pPr>
            <w:r>
              <w:rPr>
                <w:rFonts w:hint="eastAsia" w:ascii="宋体" w:hAnsi="宋体" w:cs="宋体"/>
                <w:snapToGrid w:val="0"/>
                <w:color w:val="auto"/>
                <w:sz w:val="22"/>
                <w:szCs w:val="22"/>
                <w:highlight w:val="none"/>
                <w:lang w:val="zh-CN"/>
              </w:rPr>
              <w:t>6）提交响应文件截止时间同响应文件开启时间。</w:t>
            </w:r>
          </w:p>
          <w:p>
            <w:pPr>
              <w:adjustRightInd w:val="0"/>
              <w:snapToGrid w:val="0"/>
              <w:spacing w:after="0" w:line="360" w:lineRule="exact"/>
              <w:jc w:val="lef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7</w:t>
            </w:r>
            <w:r>
              <w:rPr>
                <w:rFonts w:hint="eastAsia" w:ascii="宋体" w:hAnsi="宋体" w:cs="宋体"/>
                <w:snapToGrid w:val="0"/>
                <w:color w:val="auto"/>
                <w:sz w:val="22"/>
                <w:szCs w:val="22"/>
                <w:highlight w:val="none"/>
                <w:lang w:val="zh-CN"/>
              </w:rPr>
              <w:t>）本磋商文件的解释权属于采购代理机构和采</w:t>
            </w:r>
            <w:r>
              <w:rPr>
                <w:rFonts w:hint="eastAsia" w:ascii="宋体" w:hAnsi="宋体" w:cs="宋体"/>
                <w:snapToGrid w:val="0"/>
                <w:color w:val="auto"/>
                <w:sz w:val="22"/>
                <w:szCs w:val="22"/>
                <w:highlight w:val="none"/>
              </w:rPr>
              <w:t>购人</w:t>
            </w:r>
            <w:r>
              <w:rPr>
                <w:rFonts w:hint="eastAsia" w:ascii="宋体" w:hAnsi="宋体" w:cs="宋体"/>
                <w:snapToGrid w:val="0"/>
                <w:color w:val="auto"/>
                <w:sz w:val="22"/>
                <w:szCs w:val="22"/>
                <w:highlight w:val="none"/>
                <w:lang w:val="zh-CN"/>
              </w:rPr>
              <w:t>。</w:t>
            </w:r>
          </w:p>
        </w:tc>
      </w:tr>
    </w:tbl>
    <w:p>
      <w:pPr>
        <w:pStyle w:val="26"/>
        <w:spacing w:before="0" w:after="0" w:line="400" w:lineRule="exact"/>
        <w:ind w:firstLine="0"/>
        <w:jc w:val="both"/>
        <w:rPr>
          <w:rFonts w:cs="宋体"/>
          <w:b w:val="0"/>
          <w:color w:val="auto"/>
          <w:sz w:val="28"/>
          <w:szCs w:val="28"/>
          <w:highlight w:val="none"/>
        </w:rPr>
      </w:pPr>
      <w:r>
        <w:rPr>
          <w:rFonts w:hint="eastAsia" w:cs="宋体"/>
          <w:snapToGrid w:val="0"/>
          <w:color w:val="auto"/>
          <w:sz w:val="22"/>
          <w:szCs w:val="22"/>
          <w:highlight w:val="none"/>
        </w:rPr>
        <w:br w:type="page"/>
      </w:r>
      <w:bookmarkEnd w:id="6"/>
      <w:bookmarkStart w:id="9" w:name="_Toc183786415"/>
      <w:bookmarkStart w:id="10" w:name="_Toc479839529"/>
      <w:r>
        <w:rPr>
          <w:rFonts w:hint="eastAsia" w:cs="宋体"/>
          <w:bCs w:val="0"/>
          <w:color w:val="auto"/>
          <w:sz w:val="28"/>
          <w:szCs w:val="28"/>
          <w:highlight w:val="none"/>
        </w:rPr>
        <w:t>一、总则</w:t>
      </w:r>
      <w:bookmarkEnd w:id="9"/>
      <w:bookmarkEnd w:id="10"/>
    </w:p>
    <w:p>
      <w:pPr>
        <w:adjustRightInd w:val="0"/>
        <w:spacing w:after="0" w:line="400" w:lineRule="exact"/>
        <w:ind w:firstLine="442" w:firstLineChars="200"/>
        <w:rPr>
          <w:rFonts w:ascii="宋体" w:hAnsi="宋体" w:cs="宋体"/>
          <w:b/>
          <w:bCs/>
          <w:color w:val="auto"/>
          <w:sz w:val="22"/>
          <w:szCs w:val="22"/>
          <w:highlight w:val="none"/>
        </w:rPr>
      </w:pPr>
      <w:bookmarkStart w:id="11" w:name="_Toc183786416"/>
      <w:r>
        <w:rPr>
          <w:rFonts w:hint="eastAsia" w:ascii="宋体" w:hAnsi="宋体" w:cs="宋体"/>
          <w:b/>
          <w:bCs/>
          <w:color w:val="auto"/>
          <w:sz w:val="22"/>
          <w:szCs w:val="22"/>
          <w:highlight w:val="none"/>
        </w:rPr>
        <w:t>1．适用范围</w:t>
      </w:r>
    </w:p>
    <w:p>
      <w:pPr>
        <w:adjustRightInd w:val="0"/>
        <w:spacing w:after="0" w:line="40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1.1本次采购按照《中华人民共和国政府采购法》、</w:t>
      </w:r>
      <w:r>
        <w:rPr>
          <w:rFonts w:hint="eastAsia" w:ascii="宋体" w:hAnsi="宋体" w:cs="宋体"/>
          <w:color w:val="auto"/>
          <w:sz w:val="22"/>
          <w:szCs w:val="22"/>
          <w:highlight w:val="none"/>
        </w:rPr>
        <w:t>《中华人民共和国政府采购法实施条例》、</w:t>
      </w:r>
      <w:r>
        <w:rPr>
          <w:rFonts w:hint="eastAsia" w:ascii="宋体" w:hAnsi="宋体" w:cs="宋体"/>
          <w:bCs/>
          <w:color w:val="auto"/>
          <w:sz w:val="22"/>
          <w:szCs w:val="22"/>
          <w:highlight w:val="none"/>
        </w:rPr>
        <w:t>《政府采购竞争性磋商采购方式管理暂行办法》</w:t>
      </w:r>
      <w:r>
        <w:rPr>
          <w:rFonts w:hint="eastAsia" w:ascii="宋体" w:hAnsi="宋体" w:cs="宋体"/>
          <w:color w:val="auto"/>
          <w:sz w:val="22"/>
          <w:szCs w:val="22"/>
          <w:highlight w:val="none"/>
        </w:rPr>
        <w:t>等</w:t>
      </w:r>
      <w:r>
        <w:rPr>
          <w:rFonts w:hint="eastAsia" w:ascii="宋体" w:hAnsi="宋体" w:cs="宋体"/>
          <w:bCs/>
          <w:color w:val="auto"/>
          <w:sz w:val="22"/>
          <w:szCs w:val="22"/>
          <w:highlight w:val="none"/>
        </w:rPr>
        <w:t>相关法律法规规定组织和实施，并由政府采购管理部门指导和监督。</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1.2本项目采购方式</w:t>
      </w:r>
      <w:r>
        <w:rPr>
          <w:rFonts w:hint="eastAsia" w:ascii="宋体" w:hAnsi="宋体" w:cs="宋体"/>
          <w:color w:val="auto"/>
          <w:sz w:val="22"/>
          <w:szCs w:val="22"/>
          <w:highlight w:val="none"/>
        </w:rPr>
        <w:t>采用竞争性磋商采购方式。</w:t>
      </w:r>
    </w:p>
    <w:p>
      <w:pPr>
        <w:adjustRightInd w:val="0"/>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2．定义</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w:t>
      </w:r>
      <w:r>
        <w:rPr>
          <w:rFonts w:hint="eastAsia" w:ascii="宋体" w:hAnsi="宋体" w:cs="宋体"/>
          <w:bCs/>
          <w:color w:val="auto"/>
          <w:sz w:val="22"/>
          <w:szCs w:val="22"/>
          <w:highlight w:val="none"/>
        </w:rPr>
        <w:t>采购人：</w:t>
      </w:r>
      <w:r>
        <w:rPr>
          <w:rFonts w:hint="eastAsia" w:ascii="宋体" w:hAnsi="宋体" w:cs="宋体"/>
          <w:color w:val="auto"/>
          <w:sz w:val="22"/>
          <w:szCs w:val="22"/>
          <w:highlight w:val="none"/>
        </w:rPr>
        <w:t>温州大学。</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2.2采购代理机构：浙江乐诚工程咨询有限公司。</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2.3磋商响应供应商：响应磋商、参加竞争的法人、其他组织或者自然人。</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2.4“书面形式”包括合同书、信件和数据电文(包括电报、电传、传真、电子数据交换和电子邮件)等可以有形地表现所载内容的形式。</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2.5“公章”除特殊说明外系指政采云电子交易客户端（政采云投标客户端）中供应商的电子签章。</w:t>
      </w:r>
    </w:p>
    <w:p>
      <w:pPr>
        <w:adjustRightInd w:val="0"/>
        <w:spacing w:after="0" w:line="400" w:lineRule="exac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2.6</w:t>
      </w:r>
      <w:r>
        <w:rPr>
          <w:rFonts w:hint="eastAsia" w:ascii="宋体" w:hAnsi="宋体" w:cs="宋体"/>
          <w:b/>
          <w:bCs/>
          <w:color w:val="auto"/>
          <w:sz w:val="22"/>
          <w:szCs w:val="22"/>
          <w:highlight w:val="none"/>
        </w:rPr>
        <w:t>“▲且加下划线”系指实质性要求条款，供应商必须做出实质性响应。</w:t>
      </w:r>
    </w:p>
    <w:p>
      <w:pPr>
        <w:adjustRightInd w:val="0"/>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2.7“电子响应文件”系指通过政采云电子交易客户端（政采云投标客户端）完成响应文件编制后生成并加密的数据电文形式的响应文件（文件扩展名为.jmbs），“备份响应文件”系指以介质存储的数据电文形式的备份响应文件（与“电子响应文件”同时生成的数据电文形式的电子文件(文件扩展名为.bfbs)）。</w:t>
      </w:r>
    </w:p>
    <w:p>
      <w:pPr>
        <w:adjustRightInd w:val="0"/>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3．竞争性磋商费用</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3.1供应商应承担其参加磋商所涉及的一切费用，不管结果如何，采购人对上述费用不负任何责任。</w:t>
      </w:r>
    </w:p>
    <w:p>
      <w:pPr>
        <w:spacing w:line="360" w:lineRule="exact"/>
        <w:ind w:firstLine="416" w:firstLineChars="200"/>
        <w:jc w:val="left"/>
        <w:rPr>
          <w:rFonts w:ascii="宋体" w:hAnsi="宋体" w:cs="宋体"/>
          <w:b/>
          <w:bCs/>
          <w:color w:val="auto"/>
          <w:sz w:val="22"/>
          <w:highlight w:val="none"/>
        </w:rPr>
      </w:pPr>
      <w:r>
        <w:rPr>
          <w:rFonts w:hint="eastAsia" w:ascii="宋体" w:hAnsi="宋体" w:cs="宋体"/>
          <w:color w:val="auto"/>
          <w:spacing w:val="-6"/>
          <w:sz w:val="22"/>
          <w:szCs w:val="22"/>
          <w:highlight w:val="none"/>
        </w:rPr>
        <w:t>3.2供应商在收到成交通知书时向采购代理机构交纳采购代理服务费，</w:t>
      </w:r>
      <w:r>
        <w:rPr>
          <w:rFonts w:hint="eastAsia" w:ascii="宋体" w:hAnsi="宋体" w:cs="宋体"/>
          <w:color w:val="auto"/>
          <w:spacing w:val="-6"/>
          <w:sz w:val="22"/>
          <w:highlight w:val="none"/>
        </w:rPr>
        <w:t>收费标准（差额累进）：“</w:t>
      </w:r>
      <w:r>
        <w:rPr>
          <w:rFonts w:hint="eastAsia" w:ascii="宋体" w:hAnsi="宋体" w:cs="宋体"/>
          <w:b/>
          <w:bCs/>
          <w:color w:val="auto"/>
          <w:sz w:val="22"/>
          <w:highlight w:val="none"/>
        </w:rPr>
        <w:t>招标代理服务收费标准</w:t>
      </w:r>
      <w:r>
        <w:rPr>
          <w:rFonts w:hint="eastAsia" w:ascii="宋体" w:hAnsi="宋体" w:cs="宋体"/>
          <w:color w:val="auto"/>
          <w:spacing w:val="-6"/>
          <w:sz w:val="22"/>
          <w:highlight w:val="none"/>
        </w:rPr>
        <w:t>”</w:t>
      </w:r>
      <w:r>
        <w:rPr>
          <w:rFonts w:hint="eastAsia" w:ascii="宋体" w:hAnsi="宋体" w:cs="宋体"/>
          <w:b/>
          <w:bCs/>
          <w:color w:val="auto"/>
          <w:sz w:val="22"/>
          <w:highlight w:val="none"/>
        </w:rPr>
        <w:t>8折收取。</w:t>
      </w:r>
    </w:p>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招标代理服务收费标准</w:t>
      </w:r>
    </w:p>
    <w:tbl>
      <w:tblPr>
        <w:tblStyle w:val="3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highlight w:val="none"/>
              </w:rPr>
              <mc:AlternateContent>
                <mc:Choice Requires="wpg">
                  <w:drawing>
                    <wp:anchor distT="0" distB="0" distL="114300" distR="114300" simplePos="0" relativeHeight="251662336" behindDoc="0" locked="0" layoutInCell="1" allowOverlap="1">
                      <wp:simplePos x="0" y="0"/>
                      <wp:positionH relativeFrom="column">
                        <wp:posOffset>-33655</wp:posOffset>
                      </wp:positionH>
                      <wp:positionV relativeFrom="paragraph">
                        <wp:posOffset>-4445</wp:posOffset>
                      </wp:positionV>
                      <wp:extent cx="1522730" cy="682625"/>
                      <wp:effectExtent l="0" t="0" r="0" b="0"/>
                      <wp:wrapNone/>
                      <wp:docPr id="8" name="组合 8"/>
                      <wp:cNvGraphicFramePr/>
                      <a:graphic xmlns:a="http://schemas.openxmlformats.org/drawingml/2006/main">
                        <a:graphicData uri="http://schemas.microsoft.com/office/word/2010/wordprocessingGroup">
                          <wpg:wgp>
                            <wpg:cNvGrpSpPr/>
                            <wpg:grpSpPr>
                              <a:xfrm>
                                <a:off x="0" y="0"/>
                                <a:ext cx="1522730" cy="682625"/>
                                <a:chOff x="11" y="23"/>
                                <a:chExt cx="24" cy="12992"/>
                              </a:xfrm>
                              <a:effectLst/>
                            </wpg:grpSpPr>
                            <wps:wsp>
                              <wps:cNvPr id="10" name="Line 8"/>
                              <wps:cNvCnPr>
                                <a:cxnSpLocks noChangeShapeType="1"/>
                              </wps:cNvCnPr>
                              <wps:spPr bwMode="auto">
                                <a:xfrm>
                                  <a:off x="11" y="26"/>
                                  <a:ext cx="24" cy="10"/>
                                </a:xfrm>
                                <a:prstGeom prst="line">
                                  <a:avLst/>
                                </a:prstGeom>
                                <a:noFill/>
                                <a:ln w="9525">
                                  <a:solidFill>
                                    <a:srgbClr val="000000"/>
                                  </a:solidFill>
                                  <a:round/>
                                </a:ln>
                                <a:effectLst/>
                              </wps:spPr>
                              <wps:bodyPr/>
                            </wps:wsp>
                            <wps:wsp>
                              <wps:cNvPr id="11" name="Line 9"/>
                              <wps:cNvCnPr>
                                <a:cxnSpLocks noChangeShapeType="1"/>
                              </wps:cNvCnPr>
                              <wps:spPr bwMode="auto">
                                <a:xfrm>
                                  <a:off x="20" y="23"/>
                                  <a:ext cx="15" cy="13"/>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2.65pt;margin-top:-0.35pt;height:53.75pt;width:119.9pt;z-index:251662336;mso-width-relative:page;mso-height-relative:page;" coordorigin="11,23" coordsize="24,12992" o:gfxdata="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qLGjZAAAACAEAAA8AAAAAAAAAAQAgAAAAIgAAAGRycy9kb3ducmV2&#10;LnhtbFBLAQIUABQAAAAIAIdO4kCKZkrBbQIAALMGAAAOAAAAAAAAAAEAIAAAACgBAABkcnMvZTJv&#10;RG9jLnhtbFBLBQYAAAAABgAGAFkBAAAHBgAAAAA=&#10;">
                      <o:lock v:ext="edit" aspectratio="f"/>
                      <v:line id="Line 8" o:spid="_x0000_s1026" o:spt="20" style="position:absolute;left:11;top:26;height:10;width:2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 o:spid="_x0000_s1026" o:spt="20" style="position:absolute;left:20;top:23;height:13;width:15;"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29210</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3pt;height:0pt;width:0.05pt;z-index:251661312;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AMONdUAAAAH&#10;AQAADwAAAAAAAAABACAAAAAiAAAAZHJzL2Rvd25yZXYueG1sUEsBAhQAFAAAAAgAh07iQJ72EvPm&#10;AQAAt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color w:val="auto"/>
                <w:sz w:val="22"/>
                <w:highlight w:val="none"/>
              </w:rPr>
              <w:t xml:space="preserve">          服务类型</w:t>
            </w:r>
          </w:p>
          <w:p>
            <w:pPr>
              <w:spacing w:line="360" w:lineRule="exact"/>
              <w:ind w:firstLine="1011" w:firstLineChars="460"/>
              <w:rPr>
                <w:rFonts w:ascii="宋体" w:hAnsi="宋体" w:cs="宋体"/>
                <w:color w:val="auto"/>
                <w:sz w:val="22"/>
                <w:highlight w:val="none"/>
              </w:rPr>
            </w:pPr>
            <w:r>
              <w:rPr>
                <w:rFonts w:hint="eastAsia" w:ascii="宋体" w:hAnsi="宋体" w:cs="宋体"/>
                <w:color w:val="auto"/>
                <w:sz w:val="22"/>
                <w:highlight w:val="none"/>
              </w:rPr>
              <w:t>费率</w:t>
            </w:r>
          </w:p>
          <w:p>
            <w:pPr>
              <w:spacing w:line="360" w:lineRule="exact"/>
              <w:rPr>
                <w:rFonts w:ascii="宋体" w:hAnsi="宋体" w:cs="宋体"/>
                <w:color w:val="auto"/>
                <w:sz w:val="22"/>
                <w:highlight w:val="none"/>
              </w:rPr>
            </w:pPr>
            <w:r>
              <w:rPr>
                <w:rFonts w:hint="eastAsia" w:ascii="宋体" w:hAnsi="宋体" w:cs="宋体"/>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color w:val="auto"/>
                <w:sz w:val="22"/>
                <w:highlight w:val="none"/>
              </w:rPr>
            </w:pPr>
            <w:r>
              <w:rPr>
                <w:rFonts w:hint="eastAsia" w:ascii="宋体" w:hAnsi="宋体" w:cs="宋体"/>
                <w:color w:val="auto"/>
                <w:sz w:val="22"/>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8520" w:type="dxa"/>
            <w:gridSpan w:val="4"/>
            <w:tcBorders>
              <w:top w:val="single" w:color="auto" w:sz="4" w:space="0"/>
              <w:left w:val="single" w:color="auto" w:sz="4" w:space="0"/>
              <w:bottom w:val="single" w:color="auto" w:sz="4" w:space="0"/>
              <w:right w:val="single" w:color="auto" w:sz="4" w:space="0"/>
            </w:tcBorders>
            <w:vAlign w:val="center"/>
          </w:tcPr>
          <w:p>
            <w:pPr>
              <w:spacing w:after="0" w:line="360" w:lineRule="exact"/>
              <w:rPr>
                <w:rFonts w:ascii="宋体" w:hAnsi="宋体" w:cs="宋体"/>
                <w:color w:val="auto"/>
                <w:sz w:val="22"/>
                <w:highlight w:val="none"/>
              </w:rPr>
            </w:pPr>
            <w:r>
              <w:rPr>
                <w:rFonts w:hint="eastAsia" w:ascii="宋体" w:hAnsi="宋体" w:cs="宋体"/>
                <w:color w:val="auto"/>
                <w:sz w:val="22"/>
                <w:highlight w:val="none"/>
              </w:rPr>
              <w:t>不足3000元的按3000元收取</w:t>
            </w:r>
          </w:p>
        </w:tc>
      </w:tr>
    </w:tbl>
    <w:p>
      <w:pPr>
        <w:spacing w:after="0"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注：本次采购为服务招标，招标代理服务收费按差额定率累进法计算。</w:t>
      </w:r>
    </w:p>
    <w:p>
      <w:pPr>
        <w:spacing w:after="0" w:line="360" w:lineRule="exact"/>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请各供应商将采购代理服务费包含在投标总报价中。</w:t>
      </w:r>
      <w:r>
        <w:rPr>
          <w:rFonts w:hint="eastAsia" w:ascii="宋体" w:hAnsi="宋体" w:cs="宋体"/>
          <w:color w:val="auto"/>
          <w:sz w:val="22"/>
          <w:szCs w:val="22"/>
          <w:highlight w:val="none"/>
        </w:rPr>
        <w:t>采购代理服务费可以是现金、支票或汇票。</w:t>
      </w:r>
    </w:p>
    <w:p>
      <w:pPr>
        <w:pStyle w:val="18"/>
        <w:spacing w:after="0" w:line="400" w:lineRule="exact"/>
        <w:ind w:left="0" w:right="0" w:rightChars="0" w:firstLine="418" w:firstLineChars="200"/>
        <w:rPr>
          <w:rFonts w:cs="宋体"/>
          <w:b/>
          <w:color w:val="auto"/>
          <w:spacing w:val="-6"/>
          <w:kern w:val="0"/>
          <w:sz w:val="22"/>
          <w:szCs w:val="22"/>
          <w:highlight w:val="none"/>
        </w:rPr>
      </w:pPr>
      <w:r>
        <w:rPr>
          <w:rFonts w:hint="eastAsia" w:cs="宋体"/>
          <w:b/>
          <w:color w:val="auto"/>
          <w:spacing w:val="-6"/>
          <w:kern w:val="0"/>
          <w:sz w:val="22"/>
          <w:szCs w:val="22"/>
          <w:highlight w:val="none"/>
        </w:rPr>
        <w:t>4.质疑和投诉</w:t>
      </w:r>
    </w:p>
    <w:p>
      <w:pPr>
        <w:pStyle w:val="18"/>
        <w:spacing w:after="0" w:line="400" w:lineRule="exact"/>
        <w:ind w:left="0" w:right="0" w:rightChars="0" w:firstLine="442" w:firstLineChars="200"/>
        <w:rPr>
          <w:rFonts w:cs="宋体"/>
          <w:b/>
          <w:bCs/>
          <w:snapToGrid w:val="0"/>
          <w:color w:val="auto"/>
          <w:sz w:val="22"/>
          <w:szCs w:val="22"/>
          <w:highlight w:val="none"/>
        </w:rPr>
      </w:pPr>
      <w:r>
        <w:rPr>
          <w:rFonts w:hint="eastAsia" w:cs="宋体"/>
          <w:b/>
          <w:bCs/>
          <w:snapToGrid w:val="0"/>
          <w:color w:val="auto"/>
          <w:sz w:val="22"/>
          <w:szCs w:val="22"/>
          <w:highlight w:val="none"/>
        </w:rPr>
        <w:t>4.1质疑</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4.1.1供应商认为磋商文件、采购过程、中标或者成交结果使自己的权益受到损害的，应当在知道或者应知其权益受到损害之日起7个工作日内，以书面形式向采购人、采购代理机构提出质疑。</w:t>
      </w:r>
    </w:p>
    <w:p>
      <w:pPr>
        <w:adjustRightInd w:val="0"/>
        <w:snapToGrid w:val="0"/>
        <w:spacing w:after="0" w:line="40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4.1.2供应商提出质疑应当提交质疑函和必要的证明材料，质疑函范本请到“浙江政府采购网下载专区”下载，质疑函应当包括下列内容：</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（一）供应商的姓名或者名称、地址、邮编、联系人及联系电话；</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（二）质疑项目的名称、编号；</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（三）具体、明确的质疑事项和与质疑事项相关的请求；</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（四）事实依据；</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（五）必要的法律依据；</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（六）提出质疑的日期。</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供应商为自然人的，应当由本人签字；供应商为法人或者其他组织的，应当由法定代表人、主要负责人，或者其授权代表签字或者盖章，并加盖CA电子公章。</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提出质疑的供应商应当是参与本项目响应活动的供应商。</w:t>
      </w:r>
      <w:r>
        <w:rPr>
          <w:rFonts w:hint="eastAsia" w:ascii="宋体" w:hAnsi="宋体" w:cs="宋体"/>
          <w:b/>
          <w:bCs/>
          <w:snapToGrid w:val="0"/>
          <w:color w:val="auto"/>
          <w:sz w:val="22"/>
          <w:szCs w:val="22"/>
          <w:highlight w:val="none"/>
        </w:rPr>
        <w:t>供应商在法定质疑期内一次性提出针对同一采购程序环节的质疑</w:t>
      </w:r>
      <w:r>
        <w:rPr>
          <w:rFonts w:hint="eastAsia" w:ascii="宋体" w:hAnsi="宋体" w:cs="宋体"/>
          <w:snapToGrid w:val="0"/>
          <w:color w:val="auto"/>
          <w:sz w:val="22"/>
          <w:szCs w:val="22"/>
          <w:highlight w:val="none"/>
        </w:rPr>
        <w:t>。</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根据《政府采购质疑和投诉办法》第三十七条的规定，供应商在全国范围12个月内三次以上投诉查无实据的，由财政部门列入不良行为记录名单。</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投诉人有下列行为之一的，属于虚假、恶意投诉，由财政部门列入不良行为记录名单，禁止其1至3年内参加政府采购活动：</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（一）捏造事实；</w:t>
      </w:r>
    </w:p>
    <w:p>
      <w:pPr>
        <w:adjustRightInd w:val="0"/>
        <w:snapToGrid w:val="0"/>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（二）提供虚假材料；</w:t>
      </w:r>
    </w:p>
    <w:p>
      <w:pPr>
        <w:pStyle w:val="18"/>
        <w:spacing w:after="0" w:line="400" w:lineRule="exact"/>
        <w:ind w:left="0" w:right="0" w:rightChars="0" w:firstLine="440" w:firstLineChars="200"/>
        <w:rPr>
          <w:rFonts w:cs="宋体"/>
          <w:snapToGrid w:val="0"/>
          <w:color w:val="auto"/>
          <w:sz w:val="22"/>
          <w:szCs w:val="22"/>
          <w:highlight w:val="none"/>
        </w:rPr>
      </w:pPr>
      <w:r>
        <w:rPr>
          <w:rFonts w:hint="eastAsia" w:cs="宋体"/>
          <w:snapToGrid w:val="0"/>
          <w:color w:val="auto"/>
          <w:sz w:val="22"/>
          <w:szCs w:val="22"/>
          <w:highlight w:val="none"/>
        </w:rPr>
        <w:t>（三）以非法手段取得证明材料。证据来源的合法性存在明显疑问，投诉人无法证明其取得方式合法的，视为以非法手段取得证明材料。</w:t>
      </w:r>
    </w:p>
    <w:p>
      <w:pPr>
        <w:pStyle w:val="18"/>
        <w:spacing w:after="0" w:line="400" w:lineRule="exact"/>
        <w:ind w:left="0" w:right="0" w:rightChars="0" w:firstLine="442" w:firstLineChars="200"/>
        <w:rPr>
          <w:rFonts w:cs="宋体"/>
          <w:b/>
          <w:bCs/>
          <w:snapToGrid w:val="0"/>
          <w:color w:val="auto"/>
          <w:sz w:val="22"/>
          <w:szCs w:val="22"/>
          <w:highlight w:val="none"/>
        </w:rPr>
      </w:pPr>
      <w:r>
        <w:rPr>
          <w:rFonts w:hint="eastAsia" w:cs="宋体"/>
          <w:b/>
          <w:bCs/>
          <w:snapToGrid w:val="0"/>
          <w:color w:val="auto"/>
          <w:sz w:val="22"/>
          <w:szCs w:val="22"/>
          <w:highlight w:val="none"/>
        </w:rPr>
        <w:t>4.2投诉</w:t>
      </w:r>
    </w:p>
    <w:p>
      <w:pPr>
        <w:pStyle w:val="18"/>
        <w:spacing w:after="0" w:line="400" w:lineRule="exact"/>
        <w:ind w:left="0" w:right="0" w:rightChars="0" w:firstLine="440" w:firstLineChars="200"/>
        <w:rPr>
          <w:rFonts w:cs="宋体"/>
          <w:snapToGrid w:val="0"/>
          <w:color w:val="auto"/>
          <w:sz w:val="22"/>
          <w:szCs w:val="22"/>
          <w:highlight w:val="none"/>
        </w:rPr>
      </w:pPr>
      <w:r>
        <w:rPr>
          <w:rFonts w:hint="eastAsia" w:cs="宋体"/>
          <w:snapToGrid w:val="0"/>
          <w:color w:val="auto"/>
          <w:sz w:val="22"/>
          <w:szCs w:val="22"/>
          <w:highlight w:val="none"/>
        </w:rPr>
        <w:t>质疑供应商对采购人、采购代理机构的答复不满意或者采购人、采购代理机构未在规定的时间内作出答复的，可以在答复期满后十五个工作日内向同级政府采购监督部门投诉。</w:t>
      </w:r>
      <w:r>
        <w:rPr>
          <w:rFonts w:hint="eastAsia" w:cs="宋体"/>
          <w:b/>
          <w:bCs/>
          <w:snapToGrid w:val="0"/>
          <w:color w:val="auto"/>
          <w:sz w:val="22"/>
          <w:szCs w:val="22"/>
          <w:highlight w:val="none"/>
        </w:rPr>
        <w:t>投诉书范本请到“浙江政府采购网下载专区”下载。</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以联合体形式参加政府采购活动的，其投诉应当由组成联合体的所有供应商共同提出。</w:t>
      </w:r>
    </w:p>
    <w:p>
      <w:pPr>
        <w:adjustRightInd w:val="0"/>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5．特别说明</w:t>
      </w:r>
    </w:p>
    <w:p>
      <w:pPr>
        <w:adjustRightInd w:val="0"/>
        <w:snapToGrid w:val="0"/>
        <w:spacing w:after="0" w:line="400" w:lineRule="exact"/>
        <w:ind w:firstLine="440" w:firstLineChars="200"/>
        <w:rPr>
          <w:rFonts w:ascii="宋体" w:hAnsi="宋体" w:cs="宋体"/>
          <w:snapToGrid w:val="0"/>
          <w:color w:val="auto"/>
          <w:sz w:val="22"/>
          <w:szCs w:val="22"/>
          <w:highlight w:val="none"/>
          <w:u w:val="single"/>
        </w:rPr>
      </w:pPr>
      <w:r>
        <w:rPr>
          <w:rFonts w:hint="eastAsia" w:ascii="宋体" w:hAnsi="宋体" w:cs="宋体"/>
          <w:snapToGrid w:val="0"/>
          <w:color w:val="auto"/>
          <w:sz w:val="22"/>
          <w:szCs w:val="22"/>
          <w:highlight w:val="none"/>
          <w:u w:val="single"/>
        </w:rPr>
        <w:t>▲5.1供应商应仔细阅读磋商文件的所有内容，按照磋商文件的要求提交响应文件，并对所提供的全部资料的真实性承担法律责任。</w:t>
      </w:r>
    </w:p>
    <w:p>
      <w:pPr>
        <w:adjustRightInd w:val="0"/>
        <w:snapToGrid w:val="0"/>
        <w:spacing w:after="0" w:line="400" w:lineRule="exact"/>
        <w:ind w:firstLine="440" w:firstLineChars="200"/>
        <w:rPr>
          <w:rFonts w:ascii="宋体" w:hAnsi="宋体" w:cs="宋体"/>
          <w:snapToGrid w:val="0"/>
          <w:color w:val="auto"/>
          <w:sz w:val="22"/>
          <w:szCs w:val="22"/>
          <w:highlight w:val="none"/>
          <w:u w:val="single"/>
        </w:rPr>
      </w:pPr>
      <w:r>
        <w:rPr>
          <w:rFonts w:hint="eastAsia" w:ascii="宋体" w:hAnsi="宋体" w:cs="宋体"/>
          <w:snapToGrid w:val="0"/>
          <w:color w:val="auto"/>
          <w:sz w:val="22"/>
          <w:szCs w:val="22"/>
          <w:highlight w:val="none"/>
          <w:u w:val="single"/>
        </w:rPr>
        <w:t>▲5.2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djustRightInd w:val="0"/>
        <w:snapToGrid w:val="0"/>
        <w:spacing w:after="0" w:line="400" w:lineRule="exact"/>
        <w:ind w:firstLine="442" w:firstLineChars="200"/>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5.3供应商在投标活动中提供任何虚假材料，其投标无效，并报监管部门查处；中标后发现的，成交供应商须依照《中华人民共和国消费者权益保护法》第55条之规定三倍赔偿采购人，且民事赔偿并不免除违法供应商的行政与刑事责任。</w:t>
      </w:r>
    </w:p>
    <w:p>
      <w:pPr>
        <w:spacing w:after="0" w:line="360" w:lineRule="exact"/>
        <w:ind w:firstLine="442" w:firstLineChars="200"/>
        <w:rPr>
          <w:rFonts w:ascii="宋体" w:hAnsi="宋体" w:cs="宋体"/>
          <w:b/>
          <w:color w:val="auto"/>
          <w:sz w:val="22"/>
          <w:highlight w:val="none"/>
        </w:rPr>
      </w:pPr>
      <w:bookmarkStart w:id="12" w:name="_Toc479839530"/>
      <w:r>
        <w:rPr>
          <w:rFonts w:hint="eastAsia" w:ascii="宋体" w:hAnsi="宋体" w:cs="宋体"/>
          <w:b/>
          <w:color w:val="auto"/>
          <w:sz w:val="22"/>
          <w:highlight w:val="none"/>
        </w:rPr>
        <w:t>5.4采购项目需要落实的政府采购政策</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5.4.2 支持绿色发展</w:t>
      </w:r>
    </w:p>
    <w:p>
      <w:pPr>
        <w:snapToGrid w:val="0"/>
        <w:spacing w:after="0"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5.4.2.1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r>
        <w:rPr>
          <w:rFonts w:hint="eastAsia" w:ascii="宋体" w:hAnsi="宋体" w:cs="宋体"/>
          <w:color w:val="auto"/>
          <w:sz w:val="22"/>
          <w:highlight w:val="none"/>
          <w:u w:val="single"/>
        </w:rPr>
        <w:t>▲采购人拟采购的产品属于政府强制采购的节能产品品目清单范围的，供应商未按磋商文件要求提供国家确定的认证机构出具的、处于有效期之内的节能产品认证证书的或承诺，投标无效。</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5.4.2.2</w:t>
      </w:r>
      <w:r>
        <w:rPr>
          <w:rFonts w:hint="eastAsia" w:ascii="宋体" w:hAnsi="宋体" w:cs="宋体"/>
          <w:color w:val="auto"/>
          <w:sz w:val="22"/>
          <w:szCs w:val="22"/>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5.4.3支持中小企业发展</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pPr>
        <w:widowControl/>
        <w:snapToGrid w:val="0"/>
        <w:spacing w:after="0" w:line="360" w:lineRule="exact"/>
        <w:ind w:firstLine="442" w:firstLineChars="201"/>
        <w:jc w:val="left"/>
        <w:rPr>
          <w:rFonts w:ascii="宋体" w:hAnsi="宋体" w:cs="宋体"/>
          <w:color w:val="auto"/>
          <w:kern w:val="0"/>
          <w:sz w:val="22"/>
          <w:highlight w:val="none"/>
        </w:rPr>
      </w:pPr>
      <w:r>
        <w:rPr>
          <w:rFonts w:hint="eastAsia" w:ascii="宋体" w:hAnsi="宋体" w:cs="宋体"/>
          <w:color w:val="auto"/>
          <w:sz w:val="22"/>
          <w:highlight w:val="none"/>
        </w:rPr>
        <w:t>5.4</w:t>
      </w:r>
      <w:r>
        <w:rPr>
          <w:rFonts w:hint="eastAsia" w:ascii="宋体" w:hAnsi="宋体" w:cs="宋体"/>
          <w:bCs/>
          <w:color w:val="auto"/>
          <w:sz w:val="22"/>
          <w:highlight w:val="none"/>
        </w:rPr>
        <w:t>.3.2</w:t>
      </w:r>
      <w:r>
        <w:rPr>
          <w:rFonts w:hint="eastAsia" w:ascii="宋体" w:hAnsi="宋体" w:cs="宋体"/>
          <w:color w:val="auto"/>
          <w:kern w:val="0"/>
          <w:sz w:val="22"/>
          <w:highlight w:val="none"/>
        </w:rPr>
        <w:t>在政府采购活动中，供应商提供的货物、工程或者服务符合下列情形的，享受中小企业扶持政策：</w:t>
      </w:r>
    </w:p>
    <w:p>
      <w:pPr>
        <w:widowControl/>
        <w:snapToGrid w:val="0"/>
        <w:spacing w:after="0" w:line="360" w:lineRule="exact"/>
        <w:ind w:firstLine="442" w:firstLineChars="201"/>
        <w:jc w:val="left"/>
        <w:rPr>
          <w:rFonts w:ascii="宋体" w:hAnsi="宋体" w:cs="宋体"/>
          <w:color w:val="auto"/>
          <w:kern w:val="0"/>
          <w:sz w:val="22"/>
          <w:highlight w:val="none"/>
        </w:rPr>
      </w:pPr>
      <w:r>
        <w:rPr>
          <w:rFonts w:hint="eastAsia" w:ascii="宋体" w:hAnsi="宋体" w:cs="宋体"/>
          <w:color w:val="auto"/>
          <w:sz w:val="22"/>
          <w:highlight w:val="none"/>
        </w:rPr>
        <w:t>5.4</w:t>
      </w:r>
      <w:r>
        <w:rPr>
          <w:rFonts w:hint="eastAsia" w:ascii="宋体" w:hAnsi="宋体" w:cs="宋体"/>
          <w:color w:val="auto"/>
          <w:kern w:val="0"/>
          <w:sz w:val="22"/>
          <w:highlight w:val="none"/>
        </w:rPr>
        <w:t>.3.2.1在货物采购项目中，货物由中小企业制造，即货物由中小企业生产且使用该中小企业商号或者注册商标；</w:t>
      </w:r>
    </w:p>
    <w:p>
      <w:pPr>
        <w:widowControl/>
        <w:snapToGrid w:val="0"/>
        <w:spacing w:after="0" w:line="360" w:lineRule="exact"/>
        <w:ind w:firstLine="442" w:firstLineChars="201"/>
        <w:jc w:val="left"/>
        <w:rPr>
          <w:rFonts w:ascii="宋体" w:hAnsi="宋体" w:cs="宋体"/>
          <w:color w:val="auto"/>
          <w:kern w:val="0"/>
          <w:sz w:val="22"/>
          <w:highlight w:val="none"/>
        </w:rPr>
      </w:pPr>
      <w:r>
        <w:rPr>
          <w:rFonts w:hint="eastAsia" w:ascii="宋体" w:hAnsi="宋体" w:cs="宋体"/>
          <w:color w:val="auto"/>
          <w:sz w:val="22"/>
          <w:highlight w:val="none"/>
        </w:rPr>
        <w:t>5.4</w:t>
      </w:r>
      <w:r>
        <w:rPr>
          <w:rFonts w:hint="eastAsia" w:ascii="宋体" w:hAnsi="宋体" w:cs="宋体"/>
          <w:color w:val="auto"/>
          <w:kern w:val="0"/>
          <w:sz w:val="22"/>
          <w:highlight w:val="none"/>
        </w:rPr>
        <w:t>.3.2.2在工程采购项目中，工程由中小企业承建，即工程施工单位为中小企业；</w:t>
      </w:r>
    </w:p>
    <w:p>
      <w:pPr>
        <w:widowControl/>
        <w:snapToGrid w:val="0"/>
        <w:spacing w:after="0" w:line="360" w:lineRule="exact"/>
        <w:ind w:firstLine="442" w:firstLineChars="201"/>
        <w:jc w:val="left"/>
        <w:rPr>
          <w:rFonts w:ascii="宋体" w:hAnsi="宋体" w:cs="宋体"/>
          <w:color w:val="auto"/>
          <w:kern w:val="0"/>
          <w:sz w:val="22"/>
          <w:highlight w:val="none"/>
        </w:rPr>
      </w:pPr>
      <w:r>
        <w:rPr>
          <w:rFonts w:hint="eastAsia" w:ascii="宋体" w:hAnsi="宋体" w:cs="宋体"/>
          <w:color w:val="auto"/>
          <w:sz w:val="22"/>
          <w:highlight w:val="none"/>
        </w:rPr>
        <w:t>5.4</w:t>
      </w:r>
      <w:r>
        <w:rPr>
          <w:rFonts w:hint="eastAsia" w:ascii="宋体" w:hAnsi="宋体" w:cs="宋体"/>
          <w:color w:val="auto"/>
          <w:kern w:val="0"/>
          <w:sz w:val="22"/>
          <w:highlight w:val="none"/>
        </w:rPr>
        <w:t>.3.2.3在服务采购项目中，服务由中小企业承接，即提供服务的人员为中小企业依照《中华人民共和国劳动合同法》订立劳动合同的从业人员。</w:t>
      </w:r>
    </w:p>
    <w:p>
      <w:pPr>
        <w:widowControl/>
        <w:snapToGrid w:val="0"/>
        <w:spacing w:after="0"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在货物采购项目中，供应商提供的货物既有中小企业制造货物，也有大型企业制造货物的，不享受中小企业扶持政策。</w:t>
      </w:r>
    </w:p>
    <w:p>
      <w:pPr>
        <w:widowControl/>
        <w:snapToGrid w:val="0"/>
        <w:spacing w:after="0"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5.4.3.4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5.4.3.5符合《关于促进残疾人就业政府采购政策的通知》（财库〔2017〕141号）规定的条件并提供《残疾人福利性单位声明函》（附件）的残疾人福利性单位视同小型、微型企业；</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5.4.3.6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5.4.3.7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5.4.3.8中小企业享受扶持政策获得政府采购合同的，小微企业不得将合同分包给大中型企业，中型企业不得将合同分包给大型企业。</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5.4.4</w:t>
      </w:r>
      <w:r>
        <w:rPr>
          <w:rFonts w:hint="eastAsia" w:ascii="宋体" w:hAnsi="宋体" w:cs="宋体"/>
          <w:bCs/>
          <w:color w:val="auto"/>
          <w:sz w:val="22"/>
          <w:highlight w:val="none"/>
        </w:rPr>
        <w:t>支持创新发展</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5.4.4.1采购人优先采购被认定为首台套产品和“制造精品”的自主创新产品。</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5.4.5平等对待内外资企业和符合条件的破产重整企业</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5.4.6融资意向</w:t>
      </w:r>
    </w:p>
    <w:p>
      <w:pPr>
        <w:snapToGrid w:val="0"/>
        <w:spacing w:after="0"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pacing w:after="0" w:line="400" w:lineRule="exact"/>
        <w:rPr>
          <w:rFonts w:ascii="宋体" w:hAnsi="宋体" w:cs="宋体"/>
          <w:b/>
          <w:caps/>
          <w:color w:val="auto"/>
          <w:sz w:val="28"/>
          <w:szCs w:val="28"/>
          <w:highlight w:val="none"/>
        </w:rPr>
      </w:pPr>
      <w:r>
        <w:rPr>
          <w:rFonts w:hint="eastAsia" w:ascii="宋体" w:hAnsi="宋体" w:cs="宋体"/>
          <w:b/>
          <w:caps/>
          <w:color w:val="auto"/>
          <w:sz w:val="28"/>
          <w:szCs w:val="28"/>
          <w:highlight w:val="none"/>
        </w:rPr>
        <w:t>二、</w:t>
      </w:r>
      <w:bookmarkEnd w:id="11"/>
      <w:r>
        <w:rPr>
          <w:rFonts w:hint="eastAsia" w:ascii="宋体" w:hAnsi="宋体" w:cs="宋体"/>
          <w:b/>
          <w:caps/>
          <w:color w:val="auto"/>
          <w:sz w:val="28"/>
          <w:szCs w:val="28"/>
          <w:highlight w:val="none"/>
        </w:rPr>
        <w:t>磋商文件</w:t>
      </w:r>
      <w:bookmarkEnd w:id="12"/>
    </w:p>
    <w:p>
      <w:pPr>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6.磋商文件的组成</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6.1本磋商文件包括目录所示内容及所有按本须知发出的补充资料。</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6.2除上述所列内容外，采购人及采购代理机构的任何工作人员对供应商所作的任何口头解释、介绍、答复，只能供供应商参考，对采购人和供应商无任何约束力。</w:t>
      </w:r>
    </w:p>
    <w:p>
      <w:pPr>
        <w:adjustRightInd w:val="0"/>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6.3供应商应仔细阅读磋商文件的所有内容，按照文件要求提交响应文件，并保证所提交的全部资料的真实性。不按磋商文件的要求提供的响应文件和资料，可能导致磋商被拒绝。</w:t>
      </w:r>
    </w:p>
    <w:p>
      <w:pPr>
        <w:spacing w:after="0" w:line="400" w:lineRule="exact"/>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6.4磋商文件是磋商过程进行的有效依据，也是成交后签订合同的依据，对双方均具有约束力，凡不遵守磋商文件规定或对磋商文件的实质性内容不响应的报价，将可能被拒绝或投标无效</w:t>
      </w:r>
      <w:r>
        <w:rPr>
          <w:rFonts w:hint="eastAsia" w:ascii="宋体" w:hAnsi="宋体" w:cs="宋体"/>
          <w:color w:val="auto"/>
          <w:sz w:val="22"/>
          <w:szCs w:val="22"/>
          <w:highlight w:val="none"/>
        </w:rPr>
        <w:t>。本磋商文件由采购人或采购代理机构依据政府采购相关法律、法规、规章、省市规定和本磋商文件进行解释。</w:t>
      </w:r>
    </w:p>
    <w:p>
      <w:pPr>
        <w:adjustRightInd w:val="0"/>
        <w:spacing w:after="0" w:line="400" w:lineRule="exact"/>
        <w:ind w:firstLine="433" w:firstLineChars="196"/>
        <w:rPr>
          <w:rFonts w:ascii="宋体" w:hAnsi="宋体" w:cs="宋体"/>
          <w:b/>
          <w:bCs/>
          <w:color w:val="auto"/>
          <w:sz w:val="22"/>
          <w:szCs w:val="22"/>
          <w:highlight w:val="none"/>
        </w:rPr>
      </w:pPr>
      <w:r>
        <w:rPr>
          <w:rFonts w:hint="eastAsia" w:ascii="宋体" w:hAnsi="宋体" w:cs="宋体"/>
          <w:b/>
          <w:bCs/>
          <w:color w:val="auto"/>
          <w:sz w:val="22"/>
          <w:szCs w:val="22"/>
          <w:highlight w:val="none"/>
        </w:rPr>
        <w:t>7．磋商文件的澄清和修改</w:t>
      </w:r>
    </w:p>
    <w:p>
      <w:pPr>
        <w:spacing w:after="0" w:line="400" w:lineRule="exact"/>
        <w:ind w:firstLine="440" w:firstLineChars="200"/>
        <w:rPr>
          <w:rFonts w:ascii="宋体" w:hAnsi="宋体" w:cs="宋体"/>
          <w:color w:val="auto"/>
          <w:sz w:val="22"/>
          <w:szCs w:val="22"/>
          <w:highlight w:val="none"/>
        </w:rPr>
      </w:pPr>
      <w:bookmarkStart w:id="13" w:name="_Toc479839531"/>
      <w:r>
        <w:rPr>
          <w:rFonts w:hint="eastAsia" w:ascii="宋体" w:hAnsi="宋体" w:cs="宋体"/>
          <w:color w:val="auto"/>
          <w:sz w:val="22"/>
          <w:szCs w:val="22"/>
          <w:highlight w:val="none"/>
        </w:rPr>
        <w:t>7.1提交首次响应文件截止之日前，采购人、采购代理机构可以对已发出的磋商文件进行必要的澄清或者修改，澄清或者修改在浙江政府采购网上发布更正公告，</w:t>
      </w:r>
      <w:r>
        <w:rPr>
          <w:rStyle w:val="36"/>
          <w:rFonts w:hint="eastAsia" w:ascii="宋体" w:hAnsi="宋体" w:cs="宋体"/>
          <w:b w:val="0"/>
          <w:color w:val="auto"/>
          <w:sz w:val="22"/>
          <w:szCs w:val="22"/>
          <w:highlight w:val="none"/>
        </w:rPr>
        <w:t>同时政采云系统会向所有已按竞争性磋商公告规定方式获取磋商文件的潜在供应商发送更正提醒信息，潜在供应商请自行到浙江省政府采购网上下载公告附件，潜在供应商在收到该公告附件后应于1日内，以书面形式（签署意见并加盖实体公章或CA电子公章）向采购代理机构回函给予确认。若无书面回函确认，</w:t>
      </w:r>
      <w:r>
        <w:rPr>
          <w:rFonts w:hint="eastAsia" w:ascii="宋体" w:hAnsi="宋体" w:cs="宋体"/>
          <w:b/>
          <w:bCs/>
          <w:snapToGrid w:val="0"/>
          <w:color w:val="auto"/>
          <w:sz w:val="22"/>
          <w:szCs w:val="22"/>
          <w:highlight w:val="none"/>
        </w:rPr>
        <w:t>视同供应商已收到磋商文件修改的通知，并受其约束</w:t>
      </w:r>
      <w:r>
        <w:rPr>
          <w:rFonts w:hint="eastAsia" w:ascii="宋体" w:hAnsi="宋体" w:cs="宋体"/>
          <w:color w:val="auto"/>
          <w:sz w:val="22"/>
          <w:szCs w:val="22"/>
          <w:highlight w:val="none"/>
        </w:rPr>
        <w:t>。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color w:val="auto"/>
          <w:sz w:val="22"/>
          <w:szCs w:val="22"/>
          <w:highlight w:val="none"/>
        </w:rPr>
        <w:t>7.2</w:t>
      </w:r>
      <w:r>
        <w:rPr>
          <w:rFonts w:hint="eastAsia" w:ascii="宋体" w:hAnsi="宋体" w:cs="宋体"/>
          <w:snapToGrid w:val="0"/>
          <w:color w:val="auto"/>
          <w:sz w:val="22"/>
          <w:szCs w:val="22"/>
          <w:highlight w:val="none"/>
        </w:rPr>
        <w:t>磋商文件澄清、答复、修改、补充的内容为磋商文件的组成部分。当磋商文件与磋商文件的答复、澄清、修改、补充通知就同一内容的表述不一致时，以最后发出的书面形式文件为准。</w:t>
      </w:r>
    </w:p>
    <w:p>
      <w:pPr>
        <w:spacing w:after="0" w:line="400" w:lineRule="exact"/>
        <w:ind w:firstLine="440" w:firstLineChars="200"/>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7.3磋商文件的澄清、答复、修改或补充都应该通过本采购代理机构以法定形式发布，采购人非通过本机构，不得擅自澄清、答复、修改或补充磋商文件。</w:t>
      </w:r>
    </w:p>
    <w:p>
      <w:pPr>
        <w:spacing w:after="0" w:line="400" w:lineRule="exact"/>
        <w:rPr>
          <w:rFonts w:ascii="宋体" w:hAnsi="宋体" w:cs="宋体"/>
          <w:b/>
          <w:caps/>
          <w:color w:val="auto"/>
          <w:sz w:val="28"/>
          <w:szCs w:val="28"/>
          <w:highlight w:val="none"/>
        </w:rPr>
      </w:pPr>
      <w:r>
        <w:rPr>
          <w:rFonts w:hint="eastAsia" w:ascii="宋体" w:hAnsi="宋体" w:cs="宋体"/>
          <w:b/>
          <w:caps/>
          <w:color w:val="auto"/>
          <w:sz w:val="28"/>
          <w:szCs w:val="28"/>
          <w:highlight w:val="none"/>
        </w:rPr>
        <w:t>三、响应文件相关要求</w:t>
      </w:r>
      <w:bookmarkEnd w:id="13"/>
    </w:p>
    <w:p>
      <w:pPr>
        <w:adjustRightInd w:val="0"/>
        <w:spacing w:after="0" w:line="400" w:lineRule="exact"/>
        <w:ind w:firstLine="504" w:firstLineChars="228"/>
        <w:rPr>
          <w:rFonts w:ascii="宋体" w:hAnsi="宋体" w:cs="宋体"/>
          <w:b/>
          <w:bCs/>
          <w:color w:val="auto"/>
          <w:sz w:val="22"/>
          <w:highlight w:val="none"/>
        </w:rPr>
      </w:pPr>
      <w:bookmarkStart w:id="14" w:name="_Toc183786420"/>
      <w:r>
        <w:rPr>
          <w:rFonts w:hint="eastAsia" w:ascii="宋体" w:hAnsi="宋体" w:cs="宋体"/>
          <w:b/>
          <w:color w:val="auto"/>
          <w:sz w:val="22"/>
          <w:szCs w:val="22"/>
          <w:highlight w:val="none"/>
        </w:rPr>
        <w:t>8．</w:t>
      </w:r>
      <w:r>
        <w:rPr>
          <w:rFonts w:hint="eastAsia" w:ascii="宋体" w:hAnsi="宋体" w:cs="宋体"/>
          <w:b/>
          <w:bCs/>
          <w:color w:val="auto"/>
          <w:sz w:val="22"/>
          <w:highlight w:val="none"/>
        </w:rPr>
        <w:t>响应文件的形式</w:t>
      </w:r>
    </w:p>
    <w:p>
      <w:pPr>
        <w:pStyle w:val="8"/>
        <w:snapToGrid w:val="0"/>
        <w:spacing w:after="0"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响应文件分为电子响应文件以及备份响应文件，备份文件为以介质存储的数据电文形式的备份响应文件。</w:t>
      </w:r>
    </w:p>
    <w:p>
      <w:pPr>
        <w:spacing w:after="0" w:line="40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8.1电子响应文件，通过政采云电子交易客户端（政采云投标客户端）完成响应文件编制后生成并加密的数据电文形式的响应文件（文件扩展名为.jmbs）</w:t>
      </w:r>
      <w:r>
        <w:rPr>
          <w:rFonts w:hint="eastAsia" w:ascii="宋体" w:hAnsi="宋体" w:cs="宋体"/>
          <w:color w:val="auto"/>
          <w:kern w:val="0"/>
          <w:sz w:val="22"/>
          <w:highlight w:val="none"/>
        </w:rPr>
        <w:t>。</w:t>
      </w:r>
    </w:p>
    <w:p>
      <w:pPr>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highlight w:val="none"/>
        </w:rPr>
        <w:t xml:space="preserve">8.2 </w:t>
      </w:r>
      <w:r>
        <w:rPr>
          <w:rFonts w:hint="eastAsia" w:ascii="宋体" w:hAnsi="宋体" w:cs="宋体"/>
          <w:b/>
          <w:bCs/>
          <w:color w:val="auto"/>
          <w:sz w:val="22"/>
          <w:szCs w:val="22"/>
          <w:highlight w:val="none"/>
        </w:rPr>
        <w:t>以介质存储的数据电文形式的备份响应文件：</w:t>
      </w:r>
      <w:r>
        <w:rPr>
          <w:rStyle w:val="36"/>
          <w:rFonts w:hint="eastAsia" w:ascii="宋体" w:hAnsi="宋体" w:cs="宋体"/>
          <w:bCs/>
          <w:color w:val="auto"/>
          <w:sz w:val="22"/>
          <w:szCs w:val="22"/>
          <w:highlight w:val="none"/>
        </w:rPr>
        <w:t>与“电子响应文件”同时生成的数据电文形式的备份响应文件</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文件扩展名为</w:t>
      </w:r>
      <w:r>
        <w:rPr>
          <w:rFonts w:hint="eastAsia" w:ascii="宋体" w:hAnsi="宋体" w:cs="宋体"/>
          <w:b/>
          <w:bCs/>
          <w:color w:val="auto"/>
          <w:sz w:val="22"/>
          <w:szCs w:val="22"/>
          <w:highlight w:val="none"/>
        </w:rPr>
        <w:t>.bfbs)，</w:t>
      </w:r>
      <w:r>
        <w:rPr>
          <w:rFonts w:hint="eastAsia" w:ascii="宋体" w:hAnsi="宋体" w:cs="宋体"/>
          <w:b/>
          <w:bCs/>
          <w:color w:val="auto"/>
          <w:sz w:val="22"/>
          <w:szCs w:val="22"/>
          <w:highlight w:val="none"/>
          <w:lang w:val="zh-CN"/>
        </w:rPr>
        <w:t>响应文件提交截止时间前以电子邮件方式传送至浙江乐诚工程咨询有限公司电子邮箱</w:t>
      </w:r>
      <w:r>
        <w:rPr>
          <w:rFonts w:hint="eastAsia" w:ascii="宋体" w:hAnsi="宋体" w:cs="宋体"/>
          <w:b/>
          <w:bCs/>
          <w:color w:val="auto"/>
          <w:sz w:val="22"/>
          <w:szCs w:val="22"/>
          <w:highlight w:val="none"/>
        </w:rPr>
        <w:t>2812799762@qq.com，</w:t>
      </w:r>
      <w:r>
        <w:rPr>
          <w:rFonts w:hint="eastAsia" w:ascii="宋体" w:hAnsi="宋体" w:cs="宋体"/>
          <w:b/>
          <w:bCs/>
          <w:color w:val="auto"/>
          <w:sz w:val="22"/>
          <w:szCs w:val="22"/>
          <w:highlight w:val="none"/>
          <w:lang w:val="zh-CN"/>
        </w:rPr>
        <w:t>递交</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CN"/>
        </w:rPr>
        <w:t>份</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传送的备份响应文件需打包压缩并加密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加密密码由供应商自行保管</w:t>
      </w:r>
      <w:r>
        <w:rPr>
          <w:rFonts w:hint="eastAsia" w:ascii="宋体" w:hAnsi="宋体" w:cs="宋体"/>
          <w:b/>
          <w:bCs/>
          <w:color w:val="auto"/>
          <w:sz w:val="22"/>
          <w:szCs w:val="22"/>
          <w:highlight w:val="none"/>
        </w:rPr>
        <w:t>，未加密导致投标信息泄露的风险由供应商自行承担。</w:t>
      </w:r>
    </w:p>
    <w:p>
      <w:pPr>
        <w:spacing w:after="0" w:line="400" w:lineRule="exact"/>
        <w:ind w:firstLine="442" w:firstLineChars="200"/>
        <w:rPr>
          <w:rFonts w:ascii="宋体" w:hAnsi="宋体" w:cs="宋体"/>
          <w:b/>
          <w:bCs/>
          <w:color w:val="auto"/>
          <w:sz w:val="22"/>
          <w:highlight w:val="none"/>
        </w:rPr>
      </w:pPr>
      <w:r>
        <w:rPr>
          <w:rFonts w:hint="eastAsia" w:ascii="宋体" w:hAnsi="宋体" w:cs="宋体"/>
          <w:b/>
          <w:bCs/>
          <w:color w:val="auto"/>
          <w:sz w:val="22"/>
          <w:szCs w:val="22"/>
          <w:highlight w:val="none"/>
        </w:rPr>
        <w:t xml:space="preserve">8.3 </w:t>
      </w:r>
      <w:r>
        <w:rPr>
          <w:rFonts w:hint="eastAsia" w:ascii="宋体" w:hAnsi="宋体" w:cs="宋体"/>
          <w:b/>
          <w:bCs/>
          <w:color w:val="auto"/>
          <w:sz w:val="22"/>
          <w:highlight w:val="none"/>
        </w:rPr>
        <w:t>响应文件的效力</w:t>
      </w:r>
    </w:p>
    <w:p>
      <w:pPr>
        <w:spacing w:after="0" w:line="400" w:lineRule="exact"/>
        <w:ind w:firstLine="442" w:firstLineChars="200"/>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响应文件的启用，按先后顺位分别为电子响应文件、以介质存储的数据电文形式的备份响应文件。在下一顺位的响应文件启用时，前一顺位的响应文件自动失效。</w:t>
      </w:r>
    </w:p>
    <w:p>
      <w:pPr>
        <w:spacing w:after="0"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8.4供应商应认真阅读磋商文件中所有事项格式、条款和技术规范等。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供应商没有对磋商文件各个方面做出实质性响应，导致投标被拒绝的风险由供应商自行承担。</w:t>
      </w:r>
    </w:p>
    <w:p>
      <w:pPr>
        <w:spacing w:after="0"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8.5</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供应商应保证所提供文件资料的真实性，所有文件资料必须是针对本次投标的。如发现供应商提供了虚假文件资料，其投标将被拒绝，并自行承担相应的法律责任。</w:t>
      </w:r>
    </w:p>
    <w:p>
      <w:pPr>
        <w:adjustRightInd w:val="0"/>
        <w:spacing w:after="0" w:line="400" w:lineRule="exact"/>
        <w:ind w:firstLine="504" w:firstLineChars="228"/>
        <w:rPr>
          <w:rFonts w:ascii="宋体" w:hAnsi="宋体" w:cs="宋体"/>
          <w:b/>
          <w:color w:val="auto"/>
          <w:sz w:val="22"/>
          <w:szCs w:val="22"/>
          <w:highlight w:val="none"/>
        </w:rPr>
      </w:pPr>
      <w:r>
        <w:rPr>
          <w:rFonts w:hint="eastAsia" w:ascii="宋体" w:hAnsi="宋体" w:cs="宋体"/>
          <w:b/>
          <w:color w:val="auto"/>
          <w:sz w:val="22"/>
          <w:szCs w:val="22"/>
          <w:highlight w:val="none"/>
        </w:rPr>
        <w:t>9.响应文件的组成</w:t>
      </w:r>
    </w:p>
    <w:p>
      <w:pPr>
        <w:autoSpaceDE w:val="0"/>
        <w:autoSpaceDN w:val="0"/>
        <w:spacing w:after="0" w:line="400" w:lineRule="exact"/>
        <w:ind w:firstLine="57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磋商供应商向采购人递交的响应文件（以下简称响应文件）由</w:t>
      </w:r>
      <w:r>
        <w:rPr>
          <w:rFonts w:hint="eastAsia" w:ascii="宋体" w:hAnsi="宋体" w:cs="宋体"/>
          <w:b/>
          <w:bCs/>
          <w:color w:val="auto"/>
          <w:sz w:val="22"/>
          <w:szCs w:val="22"/>
          <w:highlight w:val="none"/>
        </w:rPr>
        <w:t>报价文件、资格文件、商务和技术文件</w:t>
      </w:r>
      <w:r>
        <w:rPr>
          <w:rFonts w:hint="eastAsia" w:ascii="宋体" w:hAnsi="宋体" w:cs="宋体"/>
          <w:color w:val="auto"/>
          <w:sz w:val="22"/>
          <w:szCs w:val="22"/>
          <w:highlight w:val="none"/>
        </w:rPr>
        <w:t>三部分组成，具体如下：</w:t>
      </w:r>
    </w:p>
    <w:p>
      <w:pPr>
        <w:adjustRightInd w:val="0"/>
        <w:spacing w:after="0" w:line="400" w:lineRule="exact"/>
        <w:ind w:firstLine="504" w:firstLineChars="228"/>
        <w:rPr>
          <w:rFonts w:ascii="宋体" w:hAnsi="宋体" w:cs="宋体"/>
          <w:b/>
          <w:color w:val="auto"/>
          <w:sz w:val="22"/>
          <w:szCs w:val="22"/>
          <w:highlight w:val="none"/>
        </w:rPr>
      </w:pPr>
      <w:r>
        <w:rPr>
          <w:rFonts w:hint="eastAsia" w:ascii="宋体" w:hAnsi="宋体" w:cs="宋体"/>
          <w:b/>
          <w:color w:val="auto"/>
          <w:sz w:val="22"/>
          <w:szCs w:val="22"/>
          <w:highlight w:val="none"/>
        </w:rPr>
        <w:t>9.1报价文件</w:t>
      </w:r>
    </w:p>
    <w:p>
      <w:pPr>
        <w:numPr>
          <w:ilvl w:val="0"/>
          <w:numId w:val="3"/>
        </w:numPr>
        <w:adjustRightInd w:val="0"/>
        <w:snapToGrid w:val="0"/>
        <w:spacing w:after="0" w:line="40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磋商响应初始报价一览表；（格式见附件1）</w:t>
      </w:r>
    </w:p>
    <w:p>
      <w:pPr>
        <w:numPr>
          <w:ilvl w:val="0"/>
          <w:numId w:val="3"/>
        </w:numPr>
        <w:adjustRightInd w:val="0"/>
        <w:snapToGrid w:val="0"/>
        <w:spacing w:after="0" w:line="40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初始报价明细表；（格式见附件2）</w:t>
      </w:r>
    </w:p>
    <w:p>
      <w:pPr>
        <w:numPr>
          <w:ilvl w:val="0"/>
          <w:numId w:val="3"/>
        </w:numPr>
        <w:adjustRightInd w:val="0"/>
        <w:snapToGrid w:val="0"/>
        <w:spacing w:after="0" w:line="40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报价部分其他内容。</w:t>
      </w:r>
    </w:p>
    <w:p>
      <w:pPr>
        <w:adjustRightInd w:val="0"/>
        <w:snapToGrid w:val="0"/>
        <w:spacing w:after="0" w:line="400" w:lineRule="exact"/>
        <w:ind w:firstLine="497" w:firstLineChars="225"/>
        <w:rPr>
          <w:rFonts w:ascii="宋体" w:hAnsi="宋体" w:cs="宋体"/>
          <w:color w:val="auto"/>
          <w:sz w:val="22"/>
          <w:szCs w:val="22"/>
          <w:highlight w:val="none"/>
        </w:rPr>
      </w:pPr>
      <w:r>
        <w:rPr>
          <w:rFonts w:hint="eastAsia" w:ascii="宋体" w:hAnsi="宋体" w:cs="宋体"/>
          <w:b/>
          <w:color w:val="auto"/>
          <w:sz w:val="22"/>
          <w:szCs w:val="22"/>
          <w:highlight w:val="none"/>
        </w:rPr>
        <w:t>9.2资格文件</w:t>
      </w:r>
      <w:r>
        <w:rPr>
          <w:rFonts w:hint="eastAsia" w:ascii="宋体" w:hAnsi="宋体" w:cs="宋体"/>
          <w:color w:val="auto"/>
          <w:sz w:val="22"/>
          <w:szCs w:val="22"/>
          <w:highlight w:val="none"/>
        </w:rPr>
        <w:t>（格式见附件3）</w:t>
      </w:r>
    </w:p>
    <w:p>
      <w:pPr>
        <w:numPr>
          <w:ilvl w:val="0"/>
          <w:numId w:val="4"/>
        </w:numPr>
        <w:adjustRightInd w:val="0"/>
        <w:snapToGrid w:val="0"/>
        <w:spacing w:after="0" w:line="400" w:lineRule="exact"/>
        <w:ind w:firstLine="440" w:firstLineChars="200"/>
        <w:rPr>
          <w:rFonts w:ascii="宋体" w:hAnsi="宋体" w:cs="宋体"/>
          <w:b/>
          <w:bCs/>
          <w:color w:val="auto"/>
          <w:sz w:val="22"/>
          <w:szCs w:val="22"/>
          <w:highlight w:val="none"/>
          <w:u w:val="single"/>
        </w:rPr>
      </w:pPr>
      <w:r>
        <w:rPr>
          <w:rFonts w:hint="eastAsia" w:ascii="宋体" w:hAnsi="宋体" w:cs="宋体"/>
          <w:color w:val="auto"/>
          <w:sz w:val="22"/>
          <w:szCs w:val="22"/>
          <w:highlight w:val="none"/>
        </w:rPr>
        <w:t>有效的法人或者其他组织的营业执照等证明文件，自然人的身份证明（五选一）（见附件3-1）</w:t>
      </w:r>
      <w:r>
        <w:rPr>
          <w:rFonts w:hint="eastAsia" w:ascii="宋体" w:hAnsi="宋体" w:cs="宋体"/>
          <w:b/>
          <w:bCs/>
          <w:color w:val="auto"/>
          <w:sz w:val="22"/>
          <w:szCs w:val="22"/>
          <w:highlight w:val="none"/>
          <w:u w:val="single"/>
        </w:rPr>
        <w:t>（如为联合体投标，则联合体各方均须提供）</w:t>
      </w:r>
    </w:p>
    <w:p>
      <w:pPr>
        <w:numPr>
          <w:ilvl w:val="0"/>
          <w:numId w:val="4"/>
        </w:numPr>
        <w:adjustRightInd w:val="0"/>
        <w:snapToGrid w:val="0"/>
        <w:spacing w:after="0" w:line="400" w:lineRule="exact"/>
        <w:ind w:firstLine="440" w:firstLineChars="200"/>
        <w:rPr>
          <w:rFonts w:ascii="宋体" w:hAnsi="宋体" w:cs="宋体"/>
          <w:b/>
          <w:bCs/>
          <w:color w:val="auto"/>
          <w:sz w:val="22"/>
          <w:szCs w:val="22"/>
          <w:highlight w:val="none"/>
          <w:u w:val="single"/>
        </w:rPr>
      </w:pPr>
      <w:r>
        <w:rPr>
          <w:rFonts w:hint="eastAsia" w:ascii="宋体" w:hAnsi="宋体" w:cs="宋体"/>
          <w:color w:val="auto"/>
          <w:sz w:val="22"/>
          <w:szCs w:val="22"/>
          <w:highlight w:val="none"/>
        </w:rPr>
        <w:t>关于符合基本资格条件的承诺函（见附件3-2）</w:t>
      </w:r>
      <w:r>
        <w:rPr>
          <w:rFonts w:hint="eastAsia" w:ascii="宋体" w:hAnsi="宋体" w:cs="宋体"/>
          <w:b/>
          <w:bCs/>
          <w:color w:val="auto"/>
          <w:sz w:val="22"/>
          <w:szCs w:val="22"/>
          <w:highlight w:val="none"/>
          <w:u w:val="single"/>
        </w:rPr>
        <w:t>（如为联合体投标，则联合体各方均须提供，并各自加盖公章）</w:t>
      </w:r>
    </w:p>
    <w:p>
      <w:pPr>
        <w:numPr>
          <w:ilvl w:val="0"/>
          <w:numId w:val="4"/>
        </w:numPr>
        <w:adjustRightInd w:val="0"/>
        <w:snapToGrid w:val="0"/>
        <w:spacing w:after="0" w:line="400" w:lineRule="exact"/>
        <w:ind w:firstLine="442" w:firstLineChars="200"/>
        <w:rPr>
          <w:rFonts w:ascii="宋体" w:hAnsi="宋体" w:cs="宋体"/>
          <w:b/>
          <w:bCs/>
          <w:color w:val="auto"/>
          <w:sz w:val="22"/>
          <w:szCs w:val="22"/>
          <w:highlight w:val="none"/>
          <w:u w:val="single"/>
        </w:rPr>
      </w:pPr>
      <w:r>
        <w:rPr>
          <w:rFonts w:hint="eastAsia" w:ascii="宋体" w:hAnsi="宋体" w:cs="宋体"/>
          <w:b/>
          <w:color w:val="auto"/>
          <w:kern w:val="0"/>
          <w:sz w:val="22"/>
          <w:szCs w:val="22"/>
          <w:highlight w:val="none"/>
        </w:rPr>
        <w:t>落实政府采购政策需满足的资格要求：提供中小企业声明函（服务）</w:t>
      </w:r>
      <w:r>
        <w:rPr>
          <w:rFonts w:hint="eastAsia" w:ascii="宋体" w:hAnsi="宋体" w:cs="宋体"/>
          <w:b/>
          <w:bCs/>
          <w:color w:val="auto"/>
          <w:sz w:val="22"/>
          <w:szCs w:val="22"/>
          <w:highlight w:val="none"/>
          <w:u w:val="single"/>
        </w:rPr>
        <w:t>（如为联合体投标，则写明联合体各方的中小企业信息，可只需联合体牵头方盖章）</w:t>
      </w:r>
      <w:r>
        <w:rPr>
          <w:rFonts w:hint="eastAsia" w:ascii="宋体" w:hAnsi="宋体" w:cs="宋体"/>
          <w:color w:val="auto"/>
          <w:sz w:val="22"/>
          <w:szCs w:val="22"/>
          <w:highlight w:val="none"/>
        </w:rPr>
        <w:t>（见附件3-3）</w:t>
      </w:r>
    </w:p>
    <w:p>
      <w:pPr>
        <w:numPr>
          <w:ilvl w:val="0"/>
          <w:numId w:val="4"/>
        </w:numPr>
        <w:adjustRightInd w:val="0"/>
        <w:snapToGrid w:val="0"/>
        <w:spacing w:after="0" w:line="40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联合体投标协议书或分包意向协议：</w:t>
      </w:r>
      <w:r>
        <w:rPr>
          <w:rFonts w:hint="eastAsia" w:ascii="宋体" w:hAnsi="宋体" w:cs="宋体"/>
          <w:color w:val="auto"/>
          <w:sz w:val="22"/>
          <w:szCs w:val="22"/>
          <w:highlight w:val="none"/>
        </w:rPr>
        <w:t>（见附件3-4）</w:t>
      </w:r>
    </w:p>
    <w:p>
      <w:pPr>
        <w:tabs>
          <w:tab w:val="left" w:pos="0"/>
        </w:tabs>
        <w:adjustRightInd w:val="0"/>
        <w:snapToGrid w:val="0"/>
        <w:spacing w:after="0" w:line="40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联合体投标协议书(以联合体形式投标的提供联合投标协议，项目不接受联合体投标或供应商不以联合体形式投标的则不需要提供）</w:t>
      </w:r>
    </w:p>
    <w:p>
      <w:pPr>
        <w:tabs>
          <w:tab w:val="left" w:pos="0"/>
        </w:tabs>
        <w:adjustRightInd w:val="0"/>
        <w:snapToGrid w:val="0"/>
        <w:spacing w:after="0" w:line="40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分包意向协议(中标后以分包方式履行合同的提供分包意向协议，采购人不同意分包或中标后不以分包方式履行合同的则不需要提供）</w:t>
      </w:r>
    </w:p>
    <w:p>
      <w:pPr>
        <w:numPr>
          <w:ilvl w:val="0"/>
          <w:numId w:val="4"/>
        </w:numPr>
        <w:adjustRightInd w:val="0"/>
        <w:snapToGrid w:val="0"/>
        <w:spacing w:after="0" w:line="40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u w:val="single"/>
        </w:rPr>
        <w:t>特定资格要求证明材料</w:t>
      </w:r>
      <w:r>
        <w:rPr>
          <w:rFonts w:hint="eastAsia" w:ascii="宋体" w:hAnsi="宋体" w:cs="宋体"/>
          <w:b/>
          <w:color w:val="auto"/>
          <w:kern w:val="0"/>
          <w:sz w:val="22"/>
          <w:szCs w:val="22"/>
          <w:highlight w:val="none"/>
        </w:rPr>
        <w:t>（根据招标公告本项目的特定资格要求提供相</w:t>
      </w:r>
      <w:r>
        <w:rPr>
          <w:rFonts w:hint="eastAsia" w:ascii="宋体" w:hAnsi="宋体" w:cs="宋体"/>
          <w:b/>
          <w:color w:val="auto"/>
          <w:sz w:val="22"/>
          <w:szCs w:val="22"/>
          <w:highlight w:val="none"/>
        </w:rPr>
        <w:t>应的材料）。（见附件3-5）</w:t>
      </w:r>
    </w:p>
    <w:p>
      <w:pPr>
        <w:adjustRightInd w:val="0"/>
        <w:snapToGrid w:val="0"/>
        <w:spacing w:after="0" w:line="400" w:lineRule="exact"/>
        <w:ind w:firstLine="497" w:firstLineChars="225"/>
        <w:rPr>
          <w:rFonts w:ascii="宋体" w:hAnsi="宋体" w:cs="宋体"/>
          <w:b/>
          <w:color w:val="auto"/>
          <w:sz w:val="22"/>
          <w:szCs w:val="22"/>
          <w:highlight w:val="none"/>
        </w:rPr>
      </w:pPr>
      <w:r>
        <w:rPr>
          <w:rFonts w:hint="eastAsia" w:ascii="宋体" w:hAnsi="宋体" w:cs="宋体"/>
          <w:b/>
          <w:color w:val="auto"/>
          <w:sz w:val="22"/>
          <w:szCs w:val="22"/>
          <w:highlight w:val="none"/>
        </w:rPr>
        <w:t>9.3商务和技术文件</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评分索引表；（格式见附件4）</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法定代表人资格证明书/法定代表人授权书；（格式见附件5）</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磋商响应函；（格式见附件6）</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磋商响应供应商基本情况介绍；（格式见附件7）</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响应声明书；（格式见附件8）</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类似项目业绩一览表（如有）；（格式见附件9）</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采购需求偏离表；（格式见附件10）</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政府采购活动现场确认声明书；（格式见附件11）</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项目负责人情况表；（格式见附件12）</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其他项目团队人员汇总表；（格式见附件13）</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承诺书；（格式见附件14）</w:t>
      </w:r>
    </w:p>
    <w:p>
      <w:pPr>
        <w:numPr>
          <w:ilvl w:val="0"/>
          <w:numId w:val="5"/>
        </w:num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磋商供应商需要说明的其他文件和说明；（格式自拟）</w:t>
      </w:r>
    </w:p>
    <w:p>
      <w:pPr>
        <w:spacing w:after="0" w:line="400" w:lineRule="exact"/>
        <w:rPr>
          <w:rFonts w:ascii="宋体" w:hAnsi="宋体" w:cs="宋体"/>
          <w:b/>
          <w:color w:val="auto"/>
          <w:sz w:val="22"/>
          <w:szCs w:val="22"/>
          <w:highlight w:val="none"/>
        </w:rPr>
      </w:pPr>
      <w:r>
        <w:rPr>
          <w:rFonts w:hint="eastAsia" w:ascii="宋体" w:hAnsi="宋体" w:cs="宋体"/>
          <w:b/>
          <w:bCs/>
          <w:color w:val="auto"/>
          <w:sz w:val="22"/>
          <w:szCs w:val="22"/>
          <w:highlight w:val="none"/>
        </w:rPr>
        <w:t>注：附件中有参考格式的，参照格式，没有参考格式的，磋商供应商根据磋商文件要求自行编制。</w:t>
      </w:r>
    </w:p>
    <w:p>
      <w:pPr>
        <w:tabs>
          <w:tab w:val="left" w:pos="900"/>
        </w:tabs>
        <w:adjustRightInd w:val="0"/>
        <w:snapToGrid w:val="0"/>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9.4磋商货币</w:t>
      </w:r>
    </w:p>
    <w:p>
      <w:pPr>
        <w:tabs>
          <w:tab w:val="left" w:pos="900"/>
        </w:tabs>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本次磋商项目货币为人民币。</w:t>
      </w:r>
    </w:p>
    <w:p>
      <w:pPr>
        <w:autoSpaceDE w:val="0"/>
        <w:autoSpaceDN w:val="0"/>
        <w:snapToGrid w:val="0"/>
        <w:spacing w:after="0" w:line="40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9.5磋商供应商应仔细阅读磋商文件中的所有内容，按照磋商文件的相关要求，详细编制响应文件，并保证响应文件的正确性和真实性，磋商供应商如与磋商文件商务、合同条款及技术各项要求有偏离，应填写《采购需求偏离表》。</w:t>
      </w:r>
    </w:p>
    <w:p>
      <w:pPr>
        <w:autoSpaceDE w:val="0"/>
        <w:autoSpaceDN w:val="0"/>
        <w:snapToGrid w:val="0"/>
        <w:spacing w:after="0" w:line="400" w:lineRule="exact"/>
        <w:ind w:firstLine="440" w:firstLineChars="200"/>
        <w:textAlignment w:val="bottom"/>
        <w:rPr>
          <w:rFonts w:ascii="宋体" w:hAnsi="宋体" w:cs="宋体"/>
          <w:b/>
          <w:bCs/>
          <w:color w:val="auto"/>
          <w:sz w:val="22"/>
          <w:szCs w:val="22"/>
          <w:highlight w:val="none"/>
        </w:rPr>
      </w:pPr>
      <w:r>
        <w:rPr>
          <w:rFonts w:hint="eastAsia" w:ascii="宋体" w:hAnsi="宋体" w:cs="宋体"/>
          <w:color w:val="auto"/>
          <w:sz w:val="22"/>
          <w:szCs w:val="22"/>
          <w:highlight w:val="none"/>
        </w:rPr>
        <w:t>9.6</w:t>
      </w:r>
      <w:r>
        <w:rPr>
          <w:rFonts w:hint="eastAsia" w:ascii="宋体" w:hAnsi="宋体" w:cs="宋体"/>
          <w:b/>
          <w:bCs/>
          <w:color w:val="auto"/>
          <w:sz w:val="22"/>
          <w:szCs w:val="22"/>
          <w:highlight w:val="none"/>
        </w:rPr>
        <w:t>不按磋商文件的要求提供的响应文件可能导致被拒绝。</w:t>
      </w:r>
    </w:p>
    <w:p>
      <w:pPr>
        <w:autoSpaceDE w:val="0"/>
        <w:autoSpaceDN w:val="0"/>
        <w:snapToGrid w:val="0"/>
        <w:spacing w:after="0" w:line="400" w:lineRule="exact"/>
        <w:ind w:firstLine="442" w:firstLineChars="200"/>
        <w:textAlignment w:val="bottom"/>
        <w:rPr>
          <w:rFonts w:ascii="宋体" w:hAnsi="宋体" w:cs="宋体"/>
          <w:b/>
          <w:color w:val="auto"/>
          <w:sz w:val="22"/>
          <w:szCs w:val="22"/>
          <w:highlight w:val="none"/>
        </w:rPr>
      </w:pPr>
      <w:r>
        <w:rPr>
          <w:rFonts w:hint="eastAsia" w:ascii="宋体" w:hAnsi="宋体" w:cs="宋体"/>
          <w:b/>
          <w:color w:val="auto"/>
          <w:sz w:val="22"/>
          <w:szCs w:val="22"/>
          <w:highlight w:val="none"/>
        </w:rPr>
        <w:t>10．报价要求</w:t>
      </w:r>
    </w:p>
    <w:p>
      <w:pPr>
        <w:pStyle w:val="8"/>
        <w:spacing w:after="0" w:line="400" w:lineRule="exact"/>
        <w:ind w:firstLine="442" w:firstLineChars="200"/>
        <w:jc w:val="left"/>
        <w:rPr>
          <w:rFonts w:hAnsi="宋体" w:cs="宋体"/>
          <w:color w:val="auto"/>
          <w:sz w:val="22"/>
          <w:szCs w:val="22"/>
          <w:highlight w:val="none"/>
        </w:rPr>
      </w:pPr>
      <w:r>
        <w:rPr>
          <w:rFonts w:hint="eastAsia" w:hAnsi="宋体" w:cs="宋体"/>
          <w:b/>
          <w:bCs/>
          <w:color w:val="auto"/>
          <w:sz w:val="22"/>
          <w:szCs w:val="22"/>
          <w:highlight w:val="none"/>
        </w:rPr>
        <w:t>10.1本项目采用人民币报价。</w:t>
      </w:r>
    </w:p>
    <w:p>
      <w:pPr>
        <w:pStyle w:val="8"/>
        <w:spacing w:after="0" w:line="400" w:lineRule="exact"/>
        <w:ind w:firstLine="440" w:firstLineChars="200"/>
        <w:jc w:val="left"/>
        <w:rPr>
          <w:rFonts w:hAnsi="宋体" w:cs="宋体"/>
          <w:color w:val="auto"/>
          <w:sz w:val="22"/>
          <w:szCs w:val="22"/>
          <w:highlight w:val="none"/>
        </w:rPr>
      </w:pPr>
      <w:r>
        <w:rPr>
          <w:rFonts w:hint="eastAsia" w:hAnsi="宋体" w:cs="宋体"/>
          <w:color w:val="auto"/>
          <w:sz w:val="22"/>
          <w:szCs w:val="22"/>
          <w:highlight w:val="none"/>
        </w:rPr>
        <w:t>10.2磋商响应报价应按磋商文件中相关附件格式填写。</w:t>
      </w:r>
    </w:p>
    <w:p>
      <w:pPr>
        <w:pStyle w:val="8"/>
        <w:spacing w:after="0" w:line="400" w:lineRule="exact"/>
        <w:ind w:firstLine="440" w:firstLineChars="200"/>
        <w:jc w:val="left"/>
        <w:rPr>
          <w:rFonts w:hAnsi="宋体" w:cs="宋体"/>
          <w:color w:val="auto"/>
          <w:sz w:val="22"/>
          <w:szCs w:val="22"/>
          <w:highlight w:val="none"/>
        </w:rPr>
      </w:pPr>
      <w:r>
        <w:rPr>
          <w:rFonts w:hint="eastAsia" w:hAnsi="宋体" w:cs="宋体"/>
          <w:color w:val="auto"/>
          <w:sz w:val="22"/>
          <w:szCs w:val="22"/>
          <w:highlight w:val="none"/>
        </w:rPr>
        <w:t>10.3客户端填写的报价与以pdf格式上传文件中的报价不一致的，应以Pdf格式上传文件中的报价为准。</w:t>
      </w:r>
    </w:p>
    <w:p>
      <w:pPr>
        <w:pStyle w:val="8"/>
        <w:spacing w:after="0" w:line="400" w:lineRule="exact"/>
        <w:ind w:firstLine="440" w:firstLineChars="200"/>
        <w:jc w:val="left"/>
        <w:rPr>
          <w:rFonts w:hAnsi="宋体" w:cs="宋体"/>
          <w:color w:val="auto"/>
          <w:sz w:val="22"/>
          <w:szCs w:val="22"/>
          <w:highlight w:val="none"/>
        </w:rPr>
      </w:pPr>
      <w:r>
        <w:rPr>
          <w:rFonts w:hint="eastAsia" w:hAnsi="宋体" w:cs="宋体"/>
          <w:color w:val="auto"/>
          <w:sz w:val="22"/>
          <w:szCs w:val="22"/>
          <w:highlight w:val="none"/>
        </w:rPr>
        <w:t>10.4最后磋商报价是履行合同的最终价格，应包括履行所有规定服务所产生的全部费用。</w:t>
      </w:r>
    </w:p>
    <w:p>
      <w:pPr>
        <w:adjustRightInd w:val="0"/>
        <w:snapToGrid w:val="0"/>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11．磋商保证金：</w:t>
      </w:r>
      <w:r>
        <w:rPr>
          <w:rFonts w:hint="eastAsia" w:ascii="宋体" w:hAnsi="宋体" w:cs="宋体"/>
          <w:b/>
          <w:color w:val="auto"/>
          <w:sz w:val="22"/>
          <w:szCs w:val="22"/>
          <w:highlight w:val="none"/>
          <w:lang w:val="zh-CN"/>
        </w:rPr>
        <w:t>本项目不收取磋商保证金。</w:t>
      </w:r>
    </w:p>
    <w:p>
      <w:pPr>
        <w:pStyle w:val="16"/>
        <w:snapToGrid w:val="0"/>
        <w:spacing w:after="0" w:line="400" w:lineRule="exact"/>
        <w:ind w:firstLine="442" w:firstLineChars="200"/>
        <w:rPr>
          <w:rFonts w:hAnsi="宋体" w:cs="宋体"/>
          <w:b/>
          <w:color w:val="auto"/>
          <w:sz w:val="22"/>
          <w:szCs w:val="22"/>
          <w:highlight w:val="none"/>
        </w:rPr>
      </w:pPr>
      <w:r>
        <w:rPr>
          <w:rFonts w:hint="eastAsia" w:hAnsi="宋体" w:cs="宋体"/>
          <w:b/>
          <w:color w:val="auto"/>
          <w:sz w:val="22"/>
          <w:szCs w:val="22"/>
          <w:highlight w:val="none"/>
        </w:rPr>
        <w:t>12．响应文件的有效期</w:t>
      </w:r>
    </w:p>
    <w:p>
      <w:pPr>
        <w:snapToGrid w:val="0"/>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12.1</w:t>
      </w:r>
      <w:r>
        <w:rPr>
          <w:rFonts w:hint="eastAsia" w:ascii="宋体" w:hAnsi="宋体" w:cs="宋体"/>
          <w:b/>
          <w:bCs/>
          <w:color w:val="auto"/>
          <w:sz w:val="22"/>
          <w:szCs w:val="22"/>
          <w:highlight w:val="none"/>
          <w:lang w:val="zh-CN"/>
        </w:rPr>
        <w:t>响应文件的有效期为</w:t>
      </w:r>
      <w:r>
        <w:rPr>
          <w:rFonts w:hint="eastAsia" w:ascii="宋体" w:hAnsi="宋体" w:cs="宋体"/>
          <w:b/>
          <w:bCs/>
          <w:color w:val="auto"/>
          <w:sz w:val="22"/>
          <w:szCs w:val="22"/>
          <w:highlight w:val="none"/>
        </w:rPr>
        <w:t>响应文件提交截止时间</w:t>
      </w:r>
      <w:r>
        <w:rPr>
          <w:rFonts w:hint="eastAsia" w:ascii="宋体" w:hAnsi="宋体" w:cs="宋体"/>
          <w:b/>
          <w:bCs/>
          <w:color w:val="auto"/>
          <w:sz w:val="22"/>
          <w:szCs w:val="22"/>
          <w:highlight w:val="none"/>
          <w:lang w:val="zh-CN"/>
        </w:rPr>
        <w:t>之日后90日历天。不足有效期的视为非实质性响应，其磋商将被拒绝。</w:t>
      </w:r>
    </w:p>
    <w:p>
      <w:pPr>
        <w:tabs>
          <w:tab w:val="left" w:pos="900"/>
        </w:tabs>
        <w:snapToGrid w:val="0"/>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12.2在原定有效期满之前，如果出现特殊情况，采购人或采购代理机构可以以书面形式向磋商供应商提出延长磋商有效期的要求，磋商供应商对此须以书面形式予以答复。磋商供应商可以拒绝这种要求。</w:t>
      </w:r>
    </w:p>
    <w:p>
      <w:pPr>
        <w:spacing w:after="0" w:line="400" w:lineRule="exact"/>
        <w:ind w:firstLine="442" w:firstLineChars="200"/>
        <w:jc w:val="left"/>
        <w:rPr>
          <w:rFonts w:ascii="宋体" w:hAnsi="宋体" w:cs="宋体"/>
          <w:b/>
          <w:color w:val="auto"/>
          <w:spacing w:val="-6"/>
          <w:sz w:val="22"/>
          <w:szCs w:val="22"/>
          <w:highlight w:val="none"/>
        </w:rPr>
      </w:pPr>
      <w:bookmarkStart w:id="15" w:name="_Toc183786418"/>
      <w:r>
        <w:rPr>
          <w:rFonts w:hint="eastAsia" w:ascii="宋体" w:hAnsi="宋体" w:cs="宋体"/>
          <w:b/>
          <w:color w:val="auto"/>
          <w:sz w:val="22"/>
          <w:szCs w:val="22"/>
          <w:highlight w:val="none"/>
        </w:rPr>
        <w:t>13．</w:t>
      </w:r>
      <w:bookmarkStart w:id="16" w:name="_Toc433537966"/>
      <w:bookmarkStart w:id="17" w:name="_Toc479839532"/>
      <w:r>
        <w:rPr>
          <w:rFonts w:hint="eastAsia" w:ascii="宋体" w:hAnsi="宋体" w:cs="宋体"/>
          <w:b/>
          <w:color w:val="auto"/>
          <w:spacing w:val="-6"/>
          <w:sz w:val="22"/>
          <w:szCs w:val="22"/>
          <w:highlight w:val="none"/>
        </w:rPr>
        <w:t>响应文件的签署</w:t>
      </w:r>
    </w:p>
    <w:p>
      <w:pPr>
        <w:spacing w:after="0" w:line="400" w:lineRule="exact"/>
        <w:ind w:firstLine="416" w:firstLineChars="200"/>
        <w:jc w:val="left"/>
        <w:rPr>
          <w:rFonts w:ascii="宋体" w:hAnsi="宋体" w:cs="宋体"/>
          <w:b/>
          <w:bCs/>
          <w:color w:val="auto"/>
          <w:spacing w:val="-6"/>
          <w:sz w:val="22"/>
          <w:szCs w:val="22"/>
          <w:highlight w:val="none"/>
        </w:rPr>
      </w:pPr>
      <w:r>
        <w:rPr>
          <w:rFonts w:hint="eastAsia" w:ascii="宋体" w:hAnsi="宋体" w:cs="宋体"/>
          <w:color w:val="auto"/>
          <w:spacing w:val="-6"/>
          <w:sz w:val="22"/>
          <w:szCs w:val="22"/>
          <w:highlight w:val="none"/>
        </w:rPr>
        <w:t>13.1.供应商应按照磋商文件和政府采购云平台的要求，根据响应文件的组成规定的内容及顺序通过政采云电子交易客户端（政采云投标客户端）编制加密电子响应文件，响应文件内容不完整、编排混乱导致响应文件被误读、漏读或者查找不到相关内容的，是供应商的责任。</w:t>
      </w:r>
      <w:r>
        <w:rPr>
          <w:rFonts w:hint="eastAsia" w:ascii="宋体" w:hAnsi="宋体" w:cs="宋体"/>
          <w:b/>
          <w:bCs/>
          <w:color w:val="auto"/>
          <w:spacing w:val="-6"/>
          <w:sz w:val="22"/>
          <w:szCs w:val="22"/>
          <w:highlight w:val="none"/>
        </w:rPr>
        <w:t>其中资格文件、商务技术文件中不得出现磋商响应报价，如因供应商原因提前泄露磋商响应报价，是供应商的责任。</w:t>
      </w:r>
    </w:p>
    <w:p>
      <w:pPr>
        <w:spacing w:after="0" w:line="400" w:lineRule="exact"/>
        <w:ind w:firstLine="416" w:firstLineChars="200"/>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13.2.响应文件须由供应商在规定位置加盖公章并由供应商授权代表签署，供应商应写全称。</w:t>
      </w:r>
    </w:p>
    <w:p>
      <w:pPr>
        <w:spacing w:after="0" w:line="400" w:lineRule="exact"/>
        <w:ind w:firstLine="416" w:firstLineChars="200"/>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13.3.响应文件不得涂改，若有修改错漏处，须由供应商授权代表签字并加盖</w:t>
      </w:r>
      <w:r>
        <w:rPr>
          <w:rStyle w:val="36"/>
          <w:rFonts w:hint="eastAsia" w:ascii="宋体" w:hAnsi="宋体" w:cs="宋体"/>
          <w:b w:val="0"/>
          <w:color w:val="auto"/>
          <w:sz w:val="22"/>
          <w:szCs w:val="22"/>
          <w:highlight w:val="none"/>
        </w:rPr>
        <w:t>CA电子公章</w:t>
      </w:r>
      <w:r>
        <w:rPr>
          <w:rFonts w:hint="eastAsia" w:ascii="宋体" w:hAnsi="宋体" w:cs="宋体"/>
          <w:color w:val="auto"/>
          <w:spacing w:val="-6"/>
          <w:sz w:val="22"/>
          <w:szCs w:val="22"/>
          <w:highlight w:val="none"/>
        </w:rPr>
        <w:t>。响应文件因字迹潦草或表达不清所引起的后果由供应商负责。</w:t>
      </w:r>
    </w:p>
    <w:p>
      <w:pPr>
        <w:spacing w:after="0"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13.4</w:t>
      </w:r>
      <w:r>
        <w:rPr>
          <w:rFonts w:hint="eastAsia" w:ascii="宋体" w:hAnsi="宋体" w:cs="宋体"/>
          <w:b/>
          <w:bCs/>
          <w:color w:val="auto"/>
          <w:sz w:val="22"/>
          <w:highlight w:val="none"/>
        </w:rPr>
        <w:t>响应文件字迹模糊或在关键的技术、商务条款上表述不清楚，将可能导致其投标被拒绝。</w:t>
      </w:r>
    </w:p>
    <w:p>
      <w:pPr>
        <w:spacing w:after="0" w:line="400" w:lineRule="exact"/>
        <w:rPr>
          <w:rFonts w:ascii="宋体" w:hAnsi="宋体" w:cs="宋体"/>
          <w:b/>
          <w:caps/>
          <w:color w:val="auto"/>
          <w:sz w:val="28"/>
          <w:szCs w:val="28"/>
          <w:highlight w:val="none"/>
        </w:rPr>
      </w:pPr>
      <w:r>
        <w:rPr>
          <w:rFonts w:hint="eastAsia" w:ascii="宋体" w:hAnsi="宋体" w:cs="宋体"/>
          <w:b/>
          <w:caps/>
          <w:color w:val="auto"/>
          <w:sz w:val="28"/>
          <w:szCs w:val="28"/>
          <w:highlight w:val="none"/>
        </w:rPr>
        <w:t>四、响应文件的递交</w:t>
      </w:r>
      <w:bookmarkEnd w:id="15"/>
      <w:bookmarkEnd w:id="16"/>
      <w:bookmarkEnd w:id="17"/>
    </w:p>
    <w:p>
      <w:pPr>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14．响应文件的上传、递交</w:t>
      </w:r>
    </w:p>
    <w:p>
      <w:pPr>
        <w:spacing w:after="0"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14.1电子响应文件的加密、递交</w:t>
      </w:r>
    </w:p>
    <w:p>
      <w:pPr>
        <w:spacing w:after="0" w:line="40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供应商</w:t>
      </w:r>
      <w:r>
        <w:rPr>
          <w:rFonts w:hint="eastAsia" w:ascii="宋体" w:hAnsi="宋体" w:cs="宋体"/>
          <w:color w:val="auto"/>
          <w:spacing w:val="-6"/>
          <w:sz w:val="22"/>
          <w:highlight w:val="none"/>
        </w:rPr>
        <w:t>于响应文件提交截止时间前按照电子投标要求将加密电子响应文件上传到“政采云”平台，逾期或未上传成功的将被政府采购云平台拒收</w:t>
      </w:r>
      <w:r>
        <w:rPr>
          <w:rFonts w:hint="eastAsia" w:ascii="宋体" w:hAnsi="宋体" w:cs="宋体"/>
          <w:color w:val="auto"/>
          <w:kern w:val="0"/>
          <w:sz w:val="22"/>
          <w:highlight w:val="none"/>
        </w:rPr>
        <w:t>。</w:t>
      </w:r>
    </w:p>
    <w:p>
      <w:pPr>
        <w:spacing w:after="0"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14.2</w:t>
      </w:r>
      <w:r>
        <w:rPr>
          <w:rFonts w:hint="eastAsia" w:ascii="宋体" w:hAnsi="宋体" w:cs="宋体"/>
          <w:b/>
          <w:color w:val="auto"/>
          <w:sz w:val="22"/>
          <w:highlight w:val="none"/>
        </w:rPr>
        <w:t>备份响应文件的加密、递交（如有）</w:t>
      </w:r>
    </w:p>
    <w:p>
      <w:pPr>
        <w:spacing w:after="0" w:line="400" w:lineRule="exact"/>
        <w:ind w:firstLine="440" w:firstLineChars="200"/>
        <w:rPr>
          <w:rFonts w:ascii="宋体" w:hAnsi="宋体" w:cs="宋体"/>
          <w:color w:val="auto"/>
          <w:kern w:val="0"/>
          <w:sz w:val="22"/>
          <w:szCs w:val="22"/>
          <w:highlight w:val="none"/>
        </w:rPr>
      </w:pPr>
      <w:r>
        <w:rPr>
          <w:rFonts w:hint="eastAsia" w:ascii="宋体" w:hAnsi="宋体" w:cs="宋体"/>
          <w:color w:val="auto"/>
          <w:sz w:val="22"/>
          <w:szCs w:val="22"/>
          <w:highlight w:val="none"/>
        </w:rPr>
        <w:t>为</w:t>
      </w:r>
      <w:r>
        <w:rPr>
          <w:rFonts w:hint="eastAsia" w:ascii="宋体" w:hAnsi="宋体" w:cs="宋体"/>
          <w:color w:val="auto"/>
          <w:kern w:val="0"/>
          <w:sz w:val="22"/>
          <w:szCs w:val="22"/>
          <w:highlight w:val="none"/>
        </w:rPr>
        <w:t>确保采购项目顺利实施，避免因政采云上电子响应文件解密失败导致供应商投标无效，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szCs w:val="22"/>
          <w:highlight w:val="none"/>
        </w:rPr>
        <w:t>供应商在政府采购云平台完成加密电子响应文件的上传后响应文件提交截止时间前将</w:t>
      </w:r>
      <w:r>
        <w:rPr>
          <w:rFonts w:hint="eastAsia" w:ascii="宋体" w:hAnsi="宋体" w:cs="宋体"/>
          <w:b/>
          <w:bCs/>
          <w:color w:val="auto"/>
          <w:sz w:val="22"/>
          <w:szCs w:val="22"/>
          <w:highlight w:val="none"/>
        </w:rPr>
        <w:t>以介质存储的数据电文形式的备份响应文件按“</w:t>
      </w:r>
      <w:r>
        <w:rPr>
          <w:rFonts w:hint="eastAsia" w:ascii="宋体" w:hAnsi="宋体" w:cs="宋体"/>
          <w:b/>
          <w:bCs/>
          <w:color w:val="auto"/>
          <w:sz w:val="22"/>
          <w:szCs w:val="22"/>
          <w:highlight w:val="none"/>
          <w:lang w:val="zh-CN"/>
        </w:rPr>
        <w:t>供应商须知前附表</w:t>
      </w:r>
      <w:r>
        <w:rPr>
          <w:rFonts w:hint="eastAsia" w:ascii="宋体" w:hAnsi="宋体" w:cs="宋体"/>
          <w:b/>
          <w:bCs/>
          <w:color w:val="auto"/>
          <w:sz w:val="22"/>
          <w:szCs w:val="22"/>
          <w:highlight w:val="none"/>
        </w:rPr>
        <w:t>”要求</w:t>
      </w:r>
      <w:r>
        <w:rPr>
          <w:rFonts w:hint="eastAsia" w:ascii="宋体" w:hAnsi="宋体" w:cs="宋体"/>
          <w:b/>
          <w:bCs/>
          <w:color w:val="auto"/>
          <w:sz w:val="22"/>
          <w:szCs w:val="22"/>
          <w:highlight w:val="none"/>
        </w:rPr>
        <w:fldChar w:fldCharType="end"/>
      </w:r>
      <w:r>
        <w:rPr>
          <w:rFonts w:hint="eastAsia" w:ascii="宋体" w:hAnsi="宋体" w:cs="宋体"/>
          <w:color w:val="auto"/>
          <w:kern w:val="0"/>
          <w:sz w:val="22"/>
          <w:szCs w:val="22"/>
          <w:highlight w:val="none"/>
        </w:rPr>
        <w:t>加密、递交。</w:t>
      </w:r>
    </w:p>
    <w:p>
      <w:pPr>
        <w:pStyle w:val="8"/>
        <w:snapToGrid w:val="0"/>
        <w:spacing w:after="0" w:line="400" w:lineRule="exact"/>
        <w:ind w:firstLine="440" w:firstLineChars="200"/>
        <w:rPr>
          <w:rFonts w:hAnsi="宋体" w:cs="宋体"/>
          <w:color w:val="auto"/>
          <w:kern w:val="0"/>
          <w:sz w:val="22"/>
          <w:szCs w:val="22"/>
          <w:highlight w:val="none"/>
        </w:rPr>
      </w:pPr>
      <w:r>
        <w:rPr>
          <w:rFonts w:hint="eastAsia" w:hAnsi="宋体" w:cs="宋体"/>
          <w:color w:val="auto"/>
          <w:kern w:val="0"/>
          <w:sz w:val="22"/>
          <w:szCs w:val="22"/>
          <w:highlight w:val="none"/>
        </w:rPr>
        <w:t>本项目由采购代理机构做好“</w:t>
      </w:r>
      <w:r>
        <w:rPr>
          <w:rFonts w:hint="eastAsia" w:hAnsi="宋体" w:cs="宋体"/>
          <w:b/>
          <w:bCs/>
          <w:color w:val="auto"/>
          <w:sz w:val="22"/>
          <w:szCs w:val="22"/>
          <w:highlight w:val="none"/>
        </w:rPr>
        <w:t>介质存储的数据电文形式的备份响应文件</w:t>
      </w:r>
      <w:r>
        <w:rPr>
          <w:rFonts w:hint="eastAsia" w:hAnsi="宋体" w:cs="宋体"/>
          <w:color w:val="auto"/>
          <w:kern w:val="0"/>
          <w:sz w:val="22"/>
          <w:szCs w:val="22"/>
          <w:highlight w:val="none"/>
        </w:rPr>
        <w:t>”的签收工作后，与投标资料一并归档。供应商授权代表不参加现场开标活动，由相关人员进行现场监督。采购代理机构将记录所有响应文件的开封过程的有关内容，并由相关人员签字确认。</w:t>
      </w:r>
    </w:p>
    <w:p>
      <w:pPr>
        <w:snapToGrid w:val="0"/>
        <w:spacing w:after="0" w:line="400" w:lineRule="exact"/>
        <w:ind w:firstLine="416" w:firstLineChars="200"/>
        <w:jc w:val="left"/>
        <w:rPr>
          <w:rFonts w:ascii="宋体" w:hAnsi="宋体" w:cs="宋体"/>
          <w:color w:val="auto"/>
          <w:sz w:val="22"/>
          <w:szCs w:val="22"/>
          <w:highlight w:val="none"/>
          <w:u w:val="single"/>
        </w:rPr>
      </w:pPr>
      <w:r>
        <w:rPr>
          <w:rFonts w:hint="eastAsia" w:ascii="宋体" w:hAnsi="宋体" w:cs="宋体"/>
          <w:color w:val="auto"/>
          <w:spacing w:val="-6"/>
          <w:sz w:val="22"/>
          <w:szCs w:val="22"/>
          <w:highlight w:val="none"/>
          <w:u w:val="single"/>
        </w:rPr>
        <w:t>▲</w:t>
      </w:r>
      <w:r>
        <w:rPr>
          <w:rFonts w:hint="eastAsia" w:ascii="宋体" w:hAnsi="宋体" w:cs="宋体"/>
          <w:color w:val="auto"/>
          <w:sz w:val="22"/>
          <w:szCs w:val="22"/>
          <w:highlight w:val="none"/>
          <w:u w:val="single"/>
        </w:rPr>
        <w:t>供应商递交的备份电子响应文件时，如出现下列情况之一的，视为无效备份电子响应文件：</w:t>
      </w:r>
    </w:p>
    <w:p>
      <w:pPr>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(1)超过</w:t>
      </w:r>
      <w:r>
        <w:rPr>
          <w:rFonts w:hint="eastAsia" w:ascii="宋体" w:hAnsi="宋体" w:cs="宋体"/>
          <w:snapToGrid w:val="0"/>
          <w:color w:val="auto"/>
          <w:sz w:val="22"/>
          <w:szCs w:val="22"/>
          <w:highlight w:val="none"/>
          <w:u w:val="single"/>
        </w:rPr>
        <w:t>响应文件提交截止时间递交</w:t>
      </w:r>
      <w:r>
        <w:rPr>
          <w:rFonts w:hint="eastAsia" w:ascii="宋体" w:hAnsi="宋体" w:cs="宋体"/>
          <w:color w:val="auto"/>
          <w:sz w:val="22"/>
          <w:szCs w:val="22"/>
          <w:highlight w:val="none"/>
          <w:u w:val="single"/>
        </w:rPr>
        <w:t>的；</w:t>
      </w:r>
    </w:p>
    <w:p>
      <w:pPr>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(2)未在政采云平台获取采购文件的。</w:t>
      </w:r>
    </w:p>
    <w:p>
      <w:pPr>
        <w:spacing w:after="0" w:line="400" w:lineRule="exact"/>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仅提供其中一种形式的备份响应文件，造成项目开标评审活动无法进行下去的，投标无效，相关风险由供应商自行承担。</w:t>
      </w:r>
    </w:p>
    <w:p>
      <w:pPr>
        <w:numPr>
          <w:ilvl w:val="0"/>
          <w:numId w:val="6"/>
        </w:numPr>
        <w:spacing w:after="0" w:line="400" w:lineRule="exact"/>
        <w:ind w:firstLine="440" w:firstLineChars="200"/>
        <w:rPr>
          <w:rFonts w:ascii="宋体" w:hAnsi="宋体" w:cs="宋体"/>
          <w:snapToGrid w:val="0"/>
          <w:color w:val="auto"/>
          <w:kern w:val="0"/>
          <w:sz w:val="22"/>
          <w:szCs w:val="22"/>
          <w:highlight w:val="none"/>
        </w:rPr>
      </w:pPr>
      <w:bookmarkStart w:id="18" w:name="_Toc433537967"/>
      <w:bookmarkStart w:id="19" w:name="_Toc479839533"/>
      <w:bookmarkStart w:id="20" w:name="_Toc207550884"/>
      <w:bookmarkStart w:id="21" w:name="_Toc183786419"/>
      <w:r>
        <w:rPr>
          <w:rFonts w:hint="eastAsia" w:ascii="宋体" w:hAnsi="宋体" w:cs="宋体"/>
          <w:snapToGrid w:val="0"/>
          <w:color w:val="auto"/>
          <w:kern w:val="0"/>
          <w:sz w:val="22"/>
          <w:szCs w:val="22"/>
          <w:highlight w:val="none"/>
        </w:rPr>
        <w:t>响应文件的修改、撤回和撤销</w:t>
      </w:r>
    </w:p>
    <w:p>
      <w:pPr>
        <w:spacing w:after="0" w:line="40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15.1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送达的响应文件，将被政采云平台拒收。</w:t>
      </w:r>
    </w:p>
    <w:p>
      <w:pPr>
        <w:spacing w:after="0" w:line="40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15.2在响应文件提交截止时间之后，供应商不得对其投标做任何修改。</w:t>
      </w:r>
    </w:p>
    <w:p>
      <w:pPr>
        <w:spacing w:after="0" w:line="400" w:lineRule="exact"/>
        <w:ind w:firstLine="440" w:firstLineChars="200"/>
        <w:rPr>
          <w:rFonts w:ascii="宋体" w:hAnsi="宋体" w:cs="宋体"/>
          <w:snapToGrid w:val="0"/>
          <w:color w:val="auto"/>
          <w:kern w:val="0"/>
          <w:sz w:val="22"/>
          <w:szCs w:val="22"/>
          <w:highlight w:val="none"/>
        </w:rPr>
      </w:pPr>
      <w:r>
        <w:rPr>
          <w:rFonts w:hint="eastAsia" w:ascii="宋体" w:hAnsi="宋体" w:cs="宋体"/>
          <w:snapToGrid w:val="0"/>
          <w:color w:val="auto"/>
          <w:kern w:val="0"/>
          <w:sz w:val="22"/>
          <w:szCs w:val="22"/>
          <w:highlight w:val="none"/>
        </w:rPr>
        <w:t>15.3在投标(响应）截止时间起至投标（响应）有效期届满，供应商投标（响应）文件不可撤销。</w:t>
      </w:r>
    </w:p>
    <w:p>
      <w:pPr>
        <w:spacing w:after="0" w:line="400" w:lineRule="exact"/>
        <w:ind w:firstLine="440" w:firstLineChars="200"/>
        <w:rPr>
          <w:rFonts w:ascii="宋体" w:hAnsi="宋体" w:cs="宋体"/>
          <w:b/>
          <w:color w:val="auto"/>
          <w:sz w:val="22"/>
          <w:szCs w:val="22"/>
          <w:highlight w:val="none"/>
        </w:rPr>
      </w:pPr>
      <w:r>
        <w:rPr>
          <w:rFonts w:hint="eastAsia" w:ascii="宋体" w:hAnsi="宋体" w:cs="宋体"/>
          <w:snapToGrid w:val="0"/>
          <w:color w:val="auto"/>
          <w:kern w:val="0"/>
          <w:sz w:val="22"/>
          <w:szCs w:val="22"/>
          <w:highlight w:val="none"/>
        </w:rPr>
        <w:t>15.4供应商撤销（撤回）投标不得损害国家利益、社会公共利益、采购人利益、代理机构利益、其他供应商利益，否则，供应商撤销（撤回）投标无效。</w:t>
      </w:r>
    </w:p>
    <w:p>
      <w:pPr>
        <w:spacing w:after="0" w:line="400" w:lineRule="exact"/>
        <w:rPr>
          <w:rFonts w:ascii="宋体" w:hAnsi="宋体" w:cs="宋体"/>
          <w:b/>
          <w:caps/>
          <w:color w:val="auto"/>
          <w:sz w:val="28"/>
          <w:szCs w:val="28"/>
          <w:highlight w:val="none"/>
        </w:rPr>
      </w:pPr>
      <w:r>
        <w:rPr>
          <w:rFonts w:hint="eastAsia" w:ascii="宋体" w:hAnsi="宋体" w:cs="宋体"/>
          <w:b/>
          <w:caps/>
          <w:color w:val="auto"/>
          <w:sz w:val="28"/>
          <w:szCs w:val="28"/>
          <w:highlight w:val="none"/>
        </w:rPr>
        <w:t>五、开启</w:t>
      </w:r>
      <w:bookmarkEnd w:id="18"/>
      <w:bookmarkEnd w:id="19"/>
      <w:bookmarkEnd w:id="20"/>
      <w:r>
        <w:rPr>
          <w:rFonts w:hint="eastAsia" w:ascii="宋体" w:hAnsi="宋体" w:cs="宋体"/>
          <w:b/>
          <w:caps/>
          <w:color w:val="auto"/>
          <w:sz w:val="28"/>
          <w:szCs w:val="28"/>
          <w:highlight w:val="none"/>
        </w:rPr>
        <w:t>响应文件</w:t>
      </w:r>
    </w:p>
    <w:p>
      <w:pPr>
        <w:pStyle w:val="16"/>
        <w:spacing w:after="0"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16</w:t>
      </w:r>
      <w:r>
        <w:rPr>
          <w:rFonts w:hint="eastAsia" w:hAnsi="宋体" w:cs="宋体"/>
          <w:bCs/>
          <w:color w:val="auto"/>
          <w:sz w:val="22"/>
          <w:szCs w:val="22"/>
          <w:highlight w:val="none"/>
        </w:rPr>
        <w:t>．</w:t>
      </w:r>
      <w:r>
        <w:rPr>
          <w:rFonts w:hint="eastAsia" w:hAnsi="宋体" w:cs="宋体"/>
          <w:color w:val="auto"/>
          <w:sz w:val="22"/>
          <w:szCs w:val="22"/>
          <w:highlight w:val="none"/>
        </w:rPr>
        <w:t>采购代理机构按照磋商文件规定的时间、地点和程序组织响应文件开启。具体按以下程序进行：</w:t>
      </w:r>
    </w:p>
    <w:p>
      <w:pPr>
        <w:pStyle w:val="16"/>
        <w:spacing w:after="0"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①开启响应文件开启场地的录音录像采集设备，并确保其正常运行。</w:t>
      </w:r>
    </w:p>
    <w:p>
      <w:pPr>
        <w:pStyle w:val="16"/>
        <w:spacing w:after="0"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②核验出席响应文件开启活动现场的各授权供应商代表及相关单位人员身份，并组织其分别登记、签到，</w:t>
      </w:r>
      <w:r>
        <w:rPr>
          <w:rFonts w:hint="eastAsia" w:hAnsi="宋体" w:cs="宋体"/>
          <w:b/>
          <w:bCs/>
          <w:color w:val="auto"/>
          <w:sz w:val="22"/>
          <w:szCs w:val="22"/>
          <w:highlight w:val="none"/>
        </w:rPr>
        <w:t>无关人员可拒绝其进入现场</w:t>
      </w:r>
      <w:r>
        <w:rPr>
          <w:rFonts w:hint="eastAsia" w:hAnsi="宋体" w:cs="宋体"/>
          <w:color w:val="auto"/>
          <w:sz w:val="22"/>
          <w:szCs w:val="22"/>
          <w:highlight w:val="none"/>
        </w:rPr>
        <w:t>。</w:t>
      </w:r>
    </w:p>
    <w:p>
      <w:pPr>
        <w:pStyle w:val="16"/>
        <w:spacing w:after="0"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③政府采购云平台在线进行磋商响应文件签收，供应商可自行打印磋商响应文件接收回执。</w:t>
      </w:r>
    </w:p>
    <w:p>
      <w:pPr>
        <w:pStyle w:val="16"/>
        <w:spacing w:after="0"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④解密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向各供应商发出电子响应文件开始解密通知，由供应商在政采云平台规定时间（不少于30分钟）内自行进行响应文件解密</w:t>
      </w:r>
      <w:r>
        <w:rPr>
          <w:rFonts w:hint="eastAsia" w:ascii="宋体" w:hAnsi="宋体" w:cs="宋体"/>
          <w:b/>
          <w:bCs/>
          <w:color w:val="auto"/>
          <w:sz w:val="22"/>
          <w:szCs w:val="22"/>
          <w:highlight w:val="none"/>
        </w:rPr>
        <w:t>（</w:t>
      </w:r>
      <w:r>
        <w:rPr>
          <w:rFonts w:hint="eastAsia" w:ascii="宋体" w:hAnsi="宋体" w:cs="宋体"/>
          <w:b/>
          <w:color w:val="auto"/>
          <w:kern w:val="0"/>
          <w:sz w:val="22"/>
          <w:szCs w:val="22"/>
          <w:highlight w:val="none"/>
        </w:rPr>
        <w:t>供应商无需在开标当天到达开标现场对电子投标进行解密，可在公司办公场地在政采云平台规定时间内通过制作电子响应文件的CA锁用“项目采购-开标评标”功能对电子响应文件进行解密。</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w:t>
      </w:r>
    </w:p>
    <w:p>
      <w:pPr>
        <w:spacing w:after="0"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pPr>
        <w:spacing w:after="0" w:line="400" w:lineRule="exact"/>
        <w:ind w:firstLine="442" w:firstLineChars="200"/>
        <w:rPr>
          <w:rFonts w:ascii="宋体" w:hAnsi="宋体" w:cs="宋体"/>
          <w:b/>
          <w:bCs/>
          <w:color w:val="auto"/>
          <w:sz w:val="22"/>
          <w:highlight w:val="none"/>
        </w:rPr>
      </w:pPr>
      <w:r>
        <w:rPr>
          <w:rFonts w:hint="eastAsia" w:ascii="宋体" w:hAnsi="宋体" w:cs="宋体"/>
          <w:b/>
          <w:bCs/>
          <w:color w:val="auto"/>
          <w:sz w:val="22"/>
          <w:szCs w:val="22"/>
          <w:highlight w:val="none"/>
        </w:rPr>
        <w:t>供应商在政采云规定时间内无法解密或解密失败的，如已按规定递交备份响应文件的</w:t>
      </w:r>
      <w:r>
        <w:rPr>
          <w:rFonts w:hint="eastAsia" w:ascii="宋体" w:hAnsi="宋体" w:cs="宋体"/>
          <w:b/>
          <w:bCs/>
          <w:color w:val="auto"/>
          <w:sz w:val="22"/>
          <w:highlight w:val="none"/>
        </w:rPr>
        <w:t>，采购代理机构将按照供应商自身意愿确认是否同意提供加密密码解密传送至浙江乐诚工程咨询有限公司电子邮箱（2812799762@qq.com）的备份响应文件，并以备份响应文件</w:t>
      </w:r>
      <w:r>
        <w:rPr>
          <w:rFonts w:hint="eastAsia" w:ascii="宋体" w:hAnsi="宋体" w:cs="宋体"/>
          <w:b/>
          <w:bCs/>
          <w:color w:val="auto"/>
          <w:sz w:val="22"/>
          <w:szCs w:val="22"/>
          <w:highlight w:val="none"/>
        </w:rPr>
        <w:t>按政府采购云平台操作规范上传至政府采购云平台，上传成功后，电子加密响应文件自动失效，否则视为响应文件撤回。响应文件已按时解密的，备份响应文件自动失效。</w:t>
      </w:r>
    </w:p>
    <w:p>
      <w:pPr>
        <w:pStyle w:val="8"/>
        <w:snapToGrid w:val="0"/>
        <w:spacing w:after="0" w:line="400" w:lineRule="exact"/>
        <w:ind w:firstLine="442" w:firstLineChars="200"/>
        <w:rPr>
          <w:rFonts w:hAnsi="宋体" w:cs="宋体"/>
          <w:b/>
          <w:bCs/>
          <w:color w:val="auto"/>
          <w:sz w:val="22"/>
          <w:highlight w:val="none"/>
        </w:rPr>
      </w:pPr>
      <w:r>
        <w:rPr>
          <w:rFonts w:hint="eastAsia" w:hAnsi="宋体" w:cs="宋体"/>
          <w:b/>
          <w:bCs/>
          <w:color w:val="auto"/>
          <w:sz w:val="22"/>
          <w:highlight w:val="none"/>
        </w:rPr>
        <w:t>请各供应商务必在规定时间内完成电子响应文件的解密工作，在电子开评标期间，供应商（授权代表）需确保在各自所在的区域具备上网的技术条件并保持网络及联系方式畅通，联系方式为获取采购文件时留的联系方式，无法保持联系方式畅通的一切后果由供应商自行承担，同时为避免出现意外，建议全程由一台电脑进行操作（包括响应文件制作、上传、解密等），中途不要更换电脑。</w:t>
      </w:r>
      <w:r>
        <w:rPr>
          <w:rFonts w:hint="eastAsia" w:hAnsi="宋体" w:cs="宋体"/>
          <w:b/>
          <w:bCs/>
          <w:color w:val="auto"/>
          <w:sz w:val="22"/>
          <w:szCs w:val="22"/>
          <w:highlight w:val="none"/>
        </w:rPr>
        <w:t>供应商因未在线参加开标而导致响应文件无法按时解密等一切后果由供应商自行承担。</w:t>
      </w:r>
    </w:p>
    <w:p>
      <w:pPr>
        <w:pStyle w:val="8"/>
        <w:snapToGrid w:val="0"/>
        <w:spacing w:after="0" w:line="400" w:lineRule="exact"/>
        <w:ind w:firstLine="440" w:firstLineChars="200"/>
        <w:rPr>
          <w:rFonts w:hAnsi="宋体" w:cs="宋体"/>
          <w:color w:val="auto"/>
          <w:sz w:val="22"/>
          <w:highlight w:val="none"/>
        </w:rPr>
      </w:pPr>
      <w:r>
        <w:rPr>
          <w:rFonts w:hint="eastAsia" w:hAnsi="宋体" w:cs="宋体"/>
          <w:color w:val="auto"/>
          <w:sz w:val="22"/>
          <w:highlight w:val="none"/>
        </w:rPr>
        <w:t>⑤组织供应商签署《政府采购活动现场确认声明书》，格式详见附件。</w:t>
      </w:r>
    </w:p>
    <w:p>
      <w:pPr>
        <w:pStyle w:val="16"/>
        <w:spacing w:after="0"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特别说明：如遇政府采购云平台电子化开标或评审程序调整的，按调整后程序执行。</w:t>
      </w:r>
    </w:p>
    <w:p>
      <w:pPr>
        <w:spacing w:after="0" w:line="400" w:lineRule="exact"/>
        <w:rPr>
          <w:rFonts w:ascii="宋体" w:hAnsi="宋体" w:cs="宋体"/>
          <w:b/>
          <w:caps/>
          <w:color w:val="auto"/>
          <w:sz w:val="28"/>
          <w:szCs w:val="28"/>
          <w:highlight w:val="none"/>
        </w:rPr>
      </w:pPr>
      <w:bookmarkStart w:id="22" w:name="_Toc479839534"/>
      <w:bookmarkStart w:id="23" w:name="_Toc433537968"/>
      <w:r>
        <w:rPr>
          <w:rFonts w:hint="eastAsia" w:ascii="宋体" w:hAnsi="宋体" w:cs="宋体"/>
          <w:b/>
          <w:caps/>
          <w:color w:val="auto"/>
          <w:sz w:val="28"/>
          <w:szCs w:val="28"/>
          <w:highlight w:val="none"/>
        </w:rPr>
        <w:t>六、</w:t>
      </w:r>
      <w:bookmarkEnd w:id="21"/>
      <w:r>
        <w:rPr>
          <w:rFonts w:hint="eastAsia" w:ascii="宋体" w:hAnsi="宋体" w:cs="宋体"/>
          <w:b/>
          <w:caps/>
          <w:color w:val="auto"/>
          <w:sz w:val="28"/>
          <w:szCs w:val="28"/>
          <w:highlight w:val="none"/>
        </w:rPr>
        <w:t>磋商人员及相关原则</w:t>
      </w:r>
      <w:bookmarkEnd w:id="22"/>
      <w:bookmarkEnd w:id="23"/>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17．参加磋商人员</w:t>
      </w:r>
    </w:p>
    <w:p>
      <w:pPr>
        <w:spacing w:after="0" w:line="400" w:lineRule="exact"/>
        <w:ind w:firstLine="440" w:firstLineChars="200"/>
        <w:rPr>
          <w:rFonts w:ascii="宋体" w:hAnsi="宋体" w:cs="宋体"/>
          <w:color w:val="auto"/>
          <w:spacing w:val="-6"/>
          <w:szCs w:val="21"/>
          <w:highlight w:val="none"/>
        </w:rPr>
      </w:pPr>
      <w:r>
        <w:rPr>
          <w:rFonts w:hint="eastAsia" w:ascii="宋体" w:hAnsi="宋体" w:cs="宋体"/>
          <w:color w:val="auto"/>
          <w:sz w:val="22"/>
          <w:szCs w:val="22"/>
          <w:highlight w:val="none"/>
        </w:rPr>
        <w:t>17.1 供应商应带派法定表人授权代表参加磋商。该授权代表须出具</w:t>
      </w:r>
      <w:r>
        <w:rPr>
          <w:rFonts w:hint="eastAsia" w:ascii="宋体" w:hAnsi="宋体" w:cs="宋体"/>
          <w:b/>
          <w:bCs/>
          <w:color w:val="auto"/>
          <w:sz w:val="22"/>
          <w:szCs w:val="22"/>
          <w:highlight w:val="none"/>
        </w:rPr>
        <w:t>法定代表人授权书</w:t>
      </w:r>
      <w:r>
        <w:rPr>
          <w:rFonts w:hint="eastAsia" w:ascii="宋体" w:hAnsi="宋体" w:cs="宋体"/>
          <w:color w:val="auto"/>
          <w:sz w:val="22"/>
          <w:szCs w:val="22"/>
          <w:highlight w:val="none"/>
        </w:rPr>
        <w:t>（格式详见第五部分）。授权代表如是法定代表人的，只须提供</w:t>
      </w:r>
      <w:r>
        <w:rPr>
          <w:rFonts w:hint="eastAsia" w:ascii="宋体" w:hAnsi="宋体" w:cs="宋体"/>
          <w:b/>
          <w:bCs/>
          <w:color w:val="auto"/>
          <w:sz w:val="22"/>
          <w:szCs w:val="22"/>
          <w:highlight w:val="none"/>
        </w:rPr>
        <w:t>法定代表人资格证明书</w:t>
      </w:r>
      <w:r>
        <w:rPr>
          <w:rFonts w:hint="eastAsia" w:ascii="宋体" w:hAnsi="宋体" w:cs="宋体"/>
          <w:color w:val="auto"/>
          <w:sz w:val="22"/>
          <w:szCs w:val="22"/>
          <w:highlight w:val="none"/>
        </w:rPr>
        <w:t>（格式详见第五部分）即可。供应商因未在线参加开标而导致磋商响应文件无法按时解密等一切后果由供应商自行承担。</w:t>
      </w:r>
    </w:p>
    <w:p>
      <w:pPr>
        <w:spacing w:after="0" w:line="400" w:lineRule="exact"/>
        <w:ind w:firstLine="480"/>
        <w:rPr>
          <w:rFonts w:ascii="宋体" w:hAnsi="宋体" w:cs="宋体"/>
          <w:b/>
          <w:color w:val="auto"/>
          <w:sz w:val="22"/>
          <w:szCs w:val="22"/>
          <w:highlight w:val="none"/>
        </w:rPr>
      </w:pPr>
      <w:r>
        <w:rPr>
          <w:rFonts w:hint="eastAsia" w:ascii="宋体" w:hAnsi="宋体" w:cs="宋体"/>
          <w:b/>
          <w:color w:val="auto"/>
          <w:sz w:val="22"/>
          <w:szCs w:val="22"/>
          <w:highlight w:val="none"/>
        </w:rPr>
        <w:t>18．磋商小组</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18.1磋商小组由采购人代表和评审专家共3人（含）以上单数组成，其中评审专家人数不少于磋商小组成员总数的2/3。</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18.2评审专家应当遵守评审工作纪律，不得泄露评审情况和评审中获悉的商业秘密。</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18.3磋商小组在评审过程中发现供应商有行贿、提供虚假材料或者串通等违法行为的，应当及时向财政部门报告。</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18.4评审专家在评审过程中受到非法干涉的，应当及时向财政、监察等部门举报。</w:t>
      </w:r>
    </w:p>
    <w:p>
      <w:pPr>
        <w:spacing w:after="0" w:line="400" w:lineRule="exact"/>
        <w:ind w:firstLine="442" w:firstLineChars="200"/>
        <w:rPr>
          <w:rFonts w:ascii="宋体" w:hAnsi="宋体" w:cs="宋体"/>
          <w:b/>
          <w:color w:val="auto"/>
          <w:sz w:val="22"/>
          <w:szCs w:val="22"/>
          <w:highlight w:val="none"/>
        </w:rPr>
      </w:pPr>
      <w:r>
        <w:rPr>
          <w:rFonts w:hint="eastAsia" w:ascii="宋体" w:hAnsi="宋体" w:cs="宋体"/>
          <w:b/>
          <w:bCs/>
          <w:color w:val="auto"/>
          <w:sz w:val="22"/>
          <w:szCs w:val="22"/>
          <w:highlight w:val="none"/>
        </w:rPr>
        <w:t>19</w:t>
      </w:r>
      <w:r>
        <w:rPr>
          <w:rFonts w:hint="eastAsia" w:ascii="宋体" w:hAnsi="宋体" w:cs="宋体"/>
          <w:b/>
          <w:color w:val="auto"/>
          <w:sz w:val="22"/>
          <w:szCs w:val="22"/>
          <w:highlight w:val="none"/>
        </w:rPr>
        <w:t>．磋商评审原则</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19.1本项目采用不公开方式评审，评审的依据为磋商文件、响应文件和磋商记录。</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19.2磋商小组成员应当按照客观、公正、审慎的原则，根据磋商文件规定的评审程序、评审方法和评审标准进行独立评审。</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19.3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19.4磋商文件内容违反国家有关强制性规定的，磋商小组应当停止评审并向采购人或者采购代理机构说明情况。</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19.5采购人、采购代理机构不得向磋商小组中的评审专家作倾向性、误导性的解释或者说明。</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19.6客观、公正的对待所有供应商，对所有供应商均采用相同的程序和标准，依据磋商评审程序列。</w:t>
      </w:r>
    </w:p>
    <w:p>
      <w:pPr>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19.7在磋商期间，磋商供应商不得向磋商小组成员询问与其无关的磋商情况，不得进行旨在影响磋商结果的活动，否则将取消其磋商资格。</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19.8在磋商过程中，评审专家不得与磋商供应商私下交换意见，在竞争性磋商工作结束后，评审专家或知情者应严格保密，不得将磋商评审情况告诉与之无关的人（包括磋商供应商）。</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19.</w:t>
      </w:r>
      <w:r>
        <w:rPr>
          <w:rFonts w:hint="eastAsia" w:ascii="宋体" w:hAnsi="宋体" w:cs="宋体"/>
          <w:color w:val="auto"/>
          <w:sz w:val="22"/>
          <w:szCs w:val="22"/>
          <w:highlight w:val="none"/>
        </w:rPr>
        <w:t>9</w:t>
      </w:r>
      <w:r>
        <w:rPr>
          <w:rFonts w:hint="eastAsia" w:ascii="宋体" w:hAnsi="宋体" w:cs="宋体"/>
          <w:color w:val="auto"/>
          <w:sz w:val="22"/>
          <w:szCs w:val="22"/>
          <w:highlight w:val="none"/>
          <w:lang w:val="zh-CN"/>
        </w:rPr>
        <w:t>在磋商和评定成交供应商的过程中，如有磋商供应商联合故意抬高报价或其他不正当行为，采购人有权中止磋商。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19.10磋商轮次不超过三轮，具体根据项目的情况由磋商小组决定。</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19.11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napToGrid w:val="0"/>
        <w:spacing w:after="0" w:line="400" w:lineRule="exact"/>
        <w:ind w:firstLine="440" w:firstLineChars="200"/>
        <w:textAlignment w:val="bottom"/>
        <w:rPr>
          <w:rFonts w:ascii="宋体" w:hAnsi="宋体" w:cs="宋体"/>
          <w:color w:val="auto"/>
          <w:sz w:val="22"/>
          <w:szCs w:val="22"/>
          <w:highlight w:val="none"/>
          <w:lang w:val="zh-CN"/>
        </w:rPr>
      </w:pPr>
      <w:r>
        <w:rPr>
          <w:rFonts w:hint="eastAsia" w:ascii="宋体" w:hAnsi="宋体" w:cs="宋体"/>
          <w:color w:val="auto"/>
          <w:sz w:val="22"/>
          <w:szCs w:val="22"/>
          <w:highlight w:val="none"/>
        </w:rPr>
        <w:t>19.12已提交响应文件的供应商，在提交最后磋商报价之前，可以根据磋商情况退出磋商。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19.13采购人不向未成交供应商解释原因，不退还响应文件，未拆封的响应文件除外。</w:t>
      </w:r>
      <w:bookmarkStart w:id="24" w:name="_Toc433537969"/>
      <w:bookmarkStart w:id="25" w:name="_Toc479839535"/>
    </w:p>
    <w:p>
      <w:pPr>
        <w:spacing w:after="0" w:line="400" w:lineRule="exact"/>
        <w:rPr>
          <w:rFonts w:ascii="宋体" w:hAnsi="宋体" w:cs="宋体"/>
          <w:b/>
          <w:color w:val="auto"/>
          <w:szCs w:val="28"/>
          <w:highlight w:val="none"/>
        </w:rPr>
      </w:pPr>
      <w:r>
        <w:rPr>
          <w:rFonts w:hint="eastAsia" w:ascii="宋体" w:hAnsi="宋体" w:cs="宋体"/>
          <w:b/>
          <w:color w:val="auto"/>
          <w:sz w:val="28"/>
          <w:szCs w:val="28"/>
          <w:highlight w:val="none"/>
        </w:rPr>
        <w:t>七、磋商程序</w:t>
      </w:r>
      <w:bookmarkEnd w:id="24"/>
      <w:bookmarkEnd w:id="25"/>
    </w:p>
    <w:p>
      <w:pPr>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20．采购代理机构按照磋商文件规定的时间、地点及程序组织评审。评审活动一般应按以下程序组织开展：</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20.1开启评审场地的录音录像采集设备，并确保其正常运行。</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20.2核验出席评审活动现场的磋商小组各成员和相关监督人员身份，并要求其分别登记、签到，按规定统一收缴、保存其通讯工具，</w:t>
      </w:r>
      <w:r>
        <w:rPr>
          <w:rFonts w:hint="eastAsia" w:ascii="宋体" w:hAnsi="宋体" w:cs="宋体"/>
          <w:b/>
          <w:bCs/>
          <w:color w:val="auto"/>
          <w:sz w:val="22"/>
          <w:szCs w:val="22"/>
          <w:highlight w:val="none"/>
        </w:rPr>
        <w:t>无关人员一律拒绝其进入评审现场</w:t>
      </w:r>
      <w:r>
        <w:rPr>
          <w:rFonts w:hint="eastAsia" w:ascii="宋体" w:hAnsi="宋体" w:cs="宋体"/>
          <w:color w:val="auto"/>
          <w:sz w:val="22"/>
          <w:szCs w:val="22"/>
          <w:highlight w:val="none"/>
        </w:rPr>
        <w:t>。</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20.3介绍评审现场的人员情况，宣布评审工作纪律，告知磋商小组应当回避情形；组织推选磋商小组组长。</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20.4宣读最终提交响应文件的供应商名单，组织磋商小组各位成员签订《政府采购评审人员廉洁自律承诺书》。</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20.6磋商小组组长组织磋商小组成员根据磋商文件规定的评审程序、评审方法和评审标准进行独立评审。</w:t>
      </w:r>
      <w:r>
        <w:rPr>
          <w:rFonts w:hint="eastAsia" w:ascii="宋体" w:hAnsi="宋体" w:cs="宋体"/>
          <w:b/>
          <w:bCs/>
          <w:color w:val="auto"/>
          <w:sz w:val="22"/>
          <w:szCs w:val="22"/>
          <w:highlight w:val="none"/>
        </w:rPr>
        <w:t>未实质性响应磋商文件的投标无效</w:t>
      </w:r>
      <w:r>
        <w:rPr>
          <w:rFonts w:hint="eastAsia" w:ascii="宋体" w:hAnsi="宋体" w:cs="宋体"/>
          <w:color w:val="auto"/>
          <w:sz w:val="22"/>
          <w:szCs w:val="22"/>
          <w:highlight w:val="none"/>
        </w:rPr>
        <w:t>，磋商小组告知提交响应文件的供应商。</w:t>
      </w:r>
    </w:p>
    <w:p>
      <w:pPr>
        <w:snapToGrid w:val="0"/>
        <w:spacing w:after="0" w:line="400" w:lineRule="exact"/>
        <w:ind w:firstLine="480"/>
        <w:rPr>
          <w:rFonts w:ascii="宋体" w:hAnsi="宋体" w:cs="宋体"/>
          <w:b/>
          <w:color w:val="auto"/>
          <w:sz w:val="22"/>
          <w:szCs w:val="22"/>
          <w:highlight w:val="none"/>
        </w:rPr>
      </w:pPr>
      <w:r>
        <w:rPr>
          <w:rFonts w:hint="eastAsia" w:ascii="宋体" w:hAnsi="宋体" w:cs="宋体"/>
          <w:b/>
          <w:color w:val="auto"/>
          <w:sz w:val="22"/>
          <w:szCs w:val="22"/>
          <w:highlight w:val="none"/>
        </w:rPr>
        <w:t>20.7磋商响应无效的情形</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▲(1)有下列情形之一的，将不予受理响应文件：</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①逾期上传电子响应文件至“政采云”平台的。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②仅递交备份电子响应文件的。</w:t>
      </w:r>
    </w:p>
    <w:p>
      <w:pPr>
        <w:tabs>
          <w:tab w:val="left" w:pos="900"/>
        </w:tabs>
        <w:adjustRightInd w:val="0"/>
        <w:snapToGrid w:val="0"/>
        <w:spacing w:after="0" w:line="400" w:lineRule="exact"/>
        <w:ind w:firstLine="440" w:firstLineChars="200"/>
        <w:jc w:val="left"/>
        <w:rPr>
          <w:rFonts w:ascii="宋体" w:hAnsi="宋体" w:cs="宋体"/>
          <w:color w:val="auto"/>
          <w:highlight w:val="none"/>
        </w:rPr>
      </w:pPr>
      <w:r>
        <w:rPr>
          <w:rFonts w:hint="eastAsia" w:ascii="宋体" w:hAnsi="宋体" w:cs="宋体"/>
          <w:color w:val="auto"/>
          <w:sz w:val="22"/>
          <w:szCs w:val="22"/>
          <w:highlight w:val="none"/>
          <w:u w:val="single"/>
        </w:rPr>
        <w:t>③电子响应文件解密失败的，且未在规定时间内提交备份响应文件的视为投标无效。</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▲(2)在资格审查时，如发现下列情形之一的，投标无效：</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①资格证明材料不全的，或者不符合磋商文件要求的；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②不具备磋商文件中规定的资格要求的；</w:t>
      </w:r>
    </w:p>
    <w:p>
      <w:pPr>
        <w:spacing w:after="0" w:line="40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③资格证明材料未按磋商文件要求签署、盖章的；</w:t>
      </w:r>
    </w:p>
    <w:p>
      <w:pPr>
        <w:spacing w:after="0" w:line="40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④经查询存在不良信用记录的。</w:t>
      </w:r>
    </w:p>
    <w:p>
      <w:pPr>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▲（3）在符合性审查、商务和技术文件评审时，如发现下列情形之一的，投标无效：</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①响应文件未按磋商文件要求签署、盖章的；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②法定代表人资格证明书/法定代表人授权书未按磋商文件要求签署、盖章的；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③响应文件内容虚假的；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④未提供或未如实提供采购需求偏离表的；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⑤明显不符合磋商文件要求，或者与磋商文件中标“▲且加下划线”的项目发生实质性偏离的；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⑥响应技术方案不明确，存在一个或一个以上备选（替代）响应方案的；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⑦磋商有效期不能满足磋商文件要求的；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⑧响应文件有采购人不能接受的附加条件的；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⑨符合法律、法规和磋商文件规定的其他无效情形。</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▲（4）在报价评审时，如发现下列情形之一的，投标无效：</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①报价为零的；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②各阶段报价超过磋商文件中规定的预算金额或最高限价的；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③未采用人民币报价或者未按照磋商文件标明的币种报价的；</w:t>
      </w:r>
    </w:p>
    <w:p>
      <w:pPr>
        <w:tabs>
          <w:tab w:val="left" w:pos="900"/>
        </w:tabs>
        <w:adjustRightInd w:val="0"/>
        <w:snapToGrid w:val="0"/>
        <w:spacing w:after="0"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④最后报价具有选择性的；</w:t>
      </w:r>
    </w:p>
    <w:p>
      <w:pPr>
        <w:adjustRightInd w:val="0"/>
        <w:snapToGrid w:val="0"/>
        <w:spacing w:after="0" w:line="40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⑤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djustRightInd w:val="0"/>
        <w:snapToGrid w:val="0"/>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5）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color w:val="auto"/>
          <w:kern w:val="0"/>
          <w:sz w:val="22"/>
          <w:szCs w:val="22"/>
          <w:highlight w:val="none"/>
        </w:rPr>
        <w:t>磋商小组要求供应商澄清、说明或者补正，须通过政采云平台要求澄清、说明或者补正。</w:t>
      </w:r>
    </w:p>
    <w:p>
      <w:pPr>
        <w:adjustRightInd w:val="0"/>
        <w:snapToGrid w:val="0"/>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（6）磋商小组要求供应商澄清、说明或者更正响应文件应当以书面形式（</w:t>
      </w:r>
      <w:r>
        <w:rPr>
          <w:rFonts w:hint="eastAsia" w:ascii="宋体" w:hAnsi="宋体" w:cs="宋体"/>
          <w:b/>
          <w:color w:val="auto"/>
          <w:spacing w:val="-6"/>
          <w:sz w:val="22"/>
          <w:szCs w:val="22"/>
          <w:highlight w:val="none"/>
        </w:rPr>
        <w:t>政府采购云平台询标函形式，下同</w:t>
      </w:r>
      <w:r>
        <w:rPr>
          <w:rFonts w:hint="eastAsia" w:ascii="宋体" w:hAnsi="宋体" w:cs="宋体"/>
          <w:color w:val="auto"/>
          <w:sz w:val="22"/>
          <w:szCs w:val="22"/>
          <w:highlight w:val="none"/>
        </w:rPr>
        <w:t>）作出。供应商的澄清、说明或者更正应当由法定代表人或其授权代表签字或者加盖CA电子公章。由授权代表签字的，应当附法定代表人授权书。</w:t>
      </w:r>
    </w:p>
    <w:p>
      <w:pPr>
        <w:adjustRightInd w:val="0"/>
        <w:snapToGrid w:val="0"/>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采用书面形式的澄清、说明或者更正，在规定时间内（不少于半小时，具体以政采云系统显示为为准）通过指定的途径提交。</w:t>
      </w:r>
    </w:p>
    <w:p>
      <w:pPr>
        <w:snapToGrid w:val="0"/>
        <w:spacing w:after="0" w:line="400" w:lineRule="exact"/>
        <w:ind w:firstLine="480"/>
        <w:rPr>
          <w:rFonts w:ascii="宋体" w:hAnsi="宋体" w:cs="宋体"/>
          <w:b/>
          <w:bCs/>
          <w:color w:val="auto"/>
          <w:sz w:val="22"/>
          <w:szCs w:val="22"/>
          <w:highlight w:val="none"/>
          <w:lang w:val="zh-CN"/>
        </w:rPr>
      </w:pPr>
      <w:r>
        <w:rPr>
          <w:rFonts w:hint="eastAsia" w:ascii="宋体" w:hAnsi="宋体" w:cs="宋体"/>
          <w:b/>
          <w:bCs/>
          <w:color w:val="auto"/>
          <w:sz w:val="22"/>
          <w:szCs w:val="22"/>
          <w:highlight w:val="none"/>
        </w:rPr>
        <w:t>20.8</w:t>
      </w:r>
      <w:r>
        <w:rPr>
          <w:rFonts w:hint="eastAsia" w:ascii="宋体" w:hAnsi="宋体" w:cs="宋体"/>
          <w:b/>
          <w:bCs/>
          <w:color w:val="auto"/>
          <w:sz w:val="22"/>
          <w:szCs w:val="22"/>
          <w:highlight w:val="none"/>
          <w:lang w:val="zh-CN"/>
        </w:rPr>
        <w:t>磋商</w:t>
      </w:r>
    </w:p>
    <w:p>
      <w:pPr>
        <w:snapToGrid w:val="0"/>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资格符合性审查通过的供应商进入下一步的磋商活动。</w:t>
      </w:r>
    </w:p>
    <w:p>
      <w:pPr>
        <w:snapToGrid w:val="0"/>
        <w:spacing w:after="0" w:line="400" w:lineRule="exact"/>
        <w:ind w:firstLine="480"/>
        <w:rPr>
          <w:rFonts w:ascii="宋体" w:hAnsi="宋体" w:cs="宋体"/>
          <w:color w:val="auto"/>
          <w:sz w:val="22"/>
          <w:szCs w:val="22"/>
          <w:highlight w:val="none"/>
        </w:rPr>
      </w:pPr>
      <w:r>
        <w:rPr>
          <w:rFonts w:hint="eastAsia" w:ascii="宋体" w:hAnsi="宋体" w:cs="宋体"/>
          <w:color w:val="auto"/>
          <w:sz w:val="22"/>
          <w:szCs w:val="22"/>
          <w:highlight w:val="none"/>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实质性变动的内容，须经采购人代表确认。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CA电子公章。由授权代表签字的，应当附法定代表人授权书。</w:t>
      </w:r>
    </w:p>
    <w:p>
      <w:pPr>
        <w:snapToGrid w:val="0"/>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20.9最后报价</w:t>
      </w:r>
    </w:p>
    <w:p>
      <w:pPr>
        <w:snapToGrid w:val="0"/>
        <w:spacing w:after="0" w:line="40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(1)磋商文件能够详细列明采购标的的技术、服务要求的，磋商结束后，磋商小组要求所有实质性响应的供应商在规定时间内</w:t>
      </w:r>
      <w:r>
        <w:rPr>
          <w:rFonts w:hint="eastAsia" w:ascii="宋体" w:hAnsi="宋体" w:cs="宋体"/>
          <w:b/>
          <w:bCs/>
          <w:color w:val="auto"/>
          <w:sz w:val="22"/>
          <w:szCs w:val="22"/>
          <w:highlight w:val="none"/>
        </w:rPr>
        <w:t>在线</w:t>
      </w:r>
      <w:r>
        <w:rPr>
          <w:rFonts w:hint="eastAsia" w:ascii="宋体" w:hAnsi="宋体" w:cs="宋体"/>
          <w:color w:val="auto"/>
          <w:sz w:val="22"/>
          <w:szCs w:val="22"/>
          <w:highlight w:val="none"/>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w:t>
      </w:r>
      <w:r>
        <w:rPr>
          <w:rFonts w:hint="eastAsia" w:ascii="宋体" w:hAnsi="宋体" w:cs="宋体"/>
          <w:b/>
          <w:bCs/>
          <w:color w:val="auto"/>
          <w:sz w:val="22"/>
          <w:szCs w:val="22"/>
          <w:highlight w:val="none"/>
        </w:rPr>
        <w:t>在线</w:t>
      </w:r>
      <w:r>
        <w:rPr>
          <w:rFonts w:hint="eastAsia" w:ascii="宋体" w:hAnsi="宋体" w:cs="宋体"/>
          <w:color w:val="auto"/>
          <w:sz w:val="22"/>
          <w:szCs w:val="22"/>
          <w:highlight w:val="none"/>
        </w:rPr>
        <w:t>提交最后磋商报价。</w:t>
      </w:r>
    </w:p>
    <w:p>
      <w:pPr>
        <w:snapToGrid w:val="0"/>
        <w:spacing w:after="0" w:line="40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(2)最后报价是供应商响应文件的有效组成部分。</w:t>
      </w:r>
      <w:r>
        <w:rPr>
          <w:rFonts w:hint="eastAsia" w:ascii="宋体" w:hAnsi="宋体" w:cs="宋体"/>
          <w:color w:val="auto"/>
          <w:sz w:val="22"/>
          <w:szCs w:val="22"/>
          <w:highlight w:val="none"/>
          <w:u w:val="single"/>
        </w:rPr>
        <w:t>▲报价不得高于上一次报价（磋商小组另有决议的除外），没有在规定时间内在线提交磋商报价的，默认上一轮报价为该轮报价。</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（3）已提交响应文件的供应商，在提交最后报价之前，可以根据磋商情况退出磋商。</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20.10经磋商确定最终采购需求和提交最后磋商报价的供应商后，由磋商小组采用综合评分法对提交最后磋商报价的供应商的响应文件和最后磋商报价进行综合评分。</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20.11磋商小组组长对打分结果进行校对、核对；对明显畸高、畸低的评分（其总评分偏离平均分30%以上的），磋商小组组长应提醒相关评审人员进行复核或书面说明理由，评审人员拒绝说明的，由现场监督员据实记录；评审人员的评审、修改记录应保留原件，随项目其他资料一并存档。</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20.12做好评审现场相关记录，协助磋商小组组长做好评审报告起草、有关内容电脑文字录入等工作，并要求磋商小组各成员签字确认。</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20.13评审结束后，采购代理机构交还评审人员及其他现场相关人员的通讯工具，主持人公布成交候选供应商名单，及采购人最终确定成交供应商名单的时间和公告方式等。</w:t>
      </w:r>
    </w:p>
    <w:p>
      <w:pPr>
        <w:snapToGrid w:val="0"/>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21．综合评分（100分）</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21.1本次评审采用综合评分法，总分为100分。</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21.2评审因素</w:t>
      </w:r>
    </w:p>
    <w:p>
      <w:pPr>
        <w:adjustRightInd w:val="0"/>
        <w:snapToGrid w:val="0"/>
        <w:spacing w:after="0" w:line="400" w:lineRule="exac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（一）商务和技术分（80分）</w:t>
      </w:r>
    </w:p>
    <w:p>
      <w:pPr>
        <w:adjustRightInd w:val="0"/>
        <w:snapToGrid w:val="0"/>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 </w:t>
      </w:r>
    </w:p>
    <w:tbl>
      <w:tblPr>
        <w:tblStyle w:val="33"/>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13"/>
        <w:gridCol w:w="6050"/>
        <w:gridCol w:w="61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spacing w:after="0" w:line="360" w:lineRule="exact"/>
              <w:jc w:val="center"/>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序号</w:t>
            </w:r>
          </w:p>
        </w:tc>
        <w:tc>
          <w:tcPr>
            <w:tcW w:w="1413" w:type="dxa"/>
            <w:vAlign w:val="center"/>
          </w:tcPr>
          <w:p>
            <w:pPr>
              <w:spacing w:after="0" w:line="360" w:lineRule="exact"/>
              <w:jc w:val="center"/>
              <w:rPr>
                <w:rFonts w:ascii="宋体" w:hAnsi="宋体" w:cs="宋体"/>
                <w:bCs/>
                <w:color w:val="auto"/>
                <w:kern w:val="0"/>
                <w:sz w:val="22"/>
                <w:szCs w:val="22"/>
                <w:highlight w:val="none"/>
              </w:rPr>
            </w:pPr>
            <w:r>
              <w:rPr>
                <w:rFonts w:hint="eastAsia" w:ascii="宋体" w:hAnsi="宋体" w:cs="宋体"/>
                <w:bCs/>
                <w:color w:val="auto"/>
                <w:spacing w:val="-6"/>
                <w:sz w:val="22"/>
                <w:szCs w:val="22"/>
                <w:highlight w:val="none"/>
              </w:rPr>
              <w:t>评分细则</w:t>
            </w:r>
          </w:p>
        </w:tc>
        <w:tc>
          <w:tcPr>
            <w:tcW w:w="6050"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评分内容</w:t>
            </w:r>
          </w:p>
        </w:tc>
        <w:tc>
          <w:tcPr>
            <w:tcW w:w="617" w:type="dxa"/>
            <w:vAlign w:val="center"/>
          </w:tcPr>
          <w:p>
            <w:pPr>
              <w:spacing w:after="0" w:line="360" w:lineRule="exact"/>
              <w:jc w:val="center"/>
              <w:rPr>
                <w:rFonts w:ascii="宋体" w:hAnsi="宋体" w:cs="宋体"/>
                <w:color w:val="auto"/>
                <w:sz w:val="22"/>
                <w:szCs w:val="22"/>
                <w:highlight w:val="none"/>
              </w:rPr>
            </w:pPr>
            <w:r>
              <w:rPr>
                <w:rFonts w:hint="eastAsia" w:ascii="宋体" w:hAnsi="宋体" w:cs="宋体"/>
                <w:bCs/>
                <w:color w:val="auto"/>
                <w:spacing w:val="-6"/>
                <w:sz w:val="22"/>
                <w:szCs w:val="22"/>
                <w:highlight w:val="none"/>
              </w:rPr>
              <w:t>分值</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spacing w:after="0" w:line="360" w:lineRule="exact"/>
              <w:jc w:val="center"/>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1</w:t>
            </w:r>
          </w:p>
        </w:tc>
        <w:tc>
          <w:tcPr>
            <w:tcW w:w="1413" w:type="dxa"/>
            <w:vAlign w:val="center"/>
          </w:tcPr>
          <w:p>
            <w:pPr>
              <w:spacing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eastAsia="zh-Hans"/>
              </w:rPr>
              <w:t>供应商业绩</w:t>
            </w:r>
          </w:p>
        </w:tc>
        <w:tc>
          <w:tcPr>
            <w:tcW w:w="6050" w:type="dxa"/>
            <w:vAlign w:val="center"/>
          </w:tcPr>
          <w:p>
            <w:pPr>
              <w:spacing w:after="0" w:line="360" w:lineRule="exact"/>
              <w:jc w:val="left"/>
              <w:rPr>
                <w:rFonts w:ascii="宋体" w:hAnsi="宋体" w:cs="宋体"/>
                <w:color w:val="auto"/>
                <w:sz w:val="22"/>
                <w:szCs w:val="22"/>
                <w:highlight w:val="none"/>
                <w:lang w:eastAsia="zh-Hans"/>
              </w:rPr>
            </w:pPr>
            <w:r>
              <w:rPr>
                <w:rFonts w:hint="eastAsia" w:ascii="宋体" w:hAnsi="宋体" w:cs="宋体"/>
                <w:color w:val="auto"/>
                <w:sz w:val="22"/>
                <w:szCs w:val="22"/>
                <w:highlight w:val="none"/>
              </w:rPr>
              <w:t>供应商自2020年01月01日至本项目投标截止时间止</w:t>
            </w:r>
            <w:r>
              <w:rPr>
                <w:rFonts w:hint="eastAsia" w:ascii="宋体" w:hAnsi="宋体" w:cs="宋体"/>
                <w:color w:val="auto"/>
                <w:sz w:val="22"/>
                <w:szCs w:val="22"/>
                <w:highlight w:val="none"/>
                <w:lang w:eastAsia="zh-Hans"/>
              </w:rPr>
              <w:t>同类型设计与施工一体化业绩具备一个得</w:t>
            </w:r>
            <w:r>
              <w:rPr>
                <w:rFonts w:ascii="宋体" w:hAnsi="宋体" w:cs="宋体"/>
                <w:color w:val="auto"/>
                <w:sz w:val="22"/>
                <w:szCs w:val="22"/>
                <w:highlight w:val="none"/>
                <w:lang w:eastAsia="zh-Hans"/>
              </w:rPr>
              <w:t>1</w:t>
            </w:r>
            <w:r>
              <w:rPr>
                <w:rFonts w:hint="eastAsia" w:ascii="宋体" w:hAnsi="宋体" w:cs="宋体"/>
                <w:color w:val="auto"/>
                <w:sz w:val="22"/>
                <w:szCs w:val="22"/>
                <w:highlight w:val="none"/>
                <w:lang w:eastAsia="zh-Hans"/>
              </w:rPr>
              <w:t>分</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lang w:eastAsia="zh-Hans"/>
              </w:rPr>
              <w:t>本项目最高得</w:t>
            </w: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Hans"/>
              </w:rPr>
              <w:t>分</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rPr>
              <w:t>业绩证明材料：时间以合同签订时间为准，提供合同复印件并加盖供应商公章，否则不得分。</w:t>
            </w:r>
          </w:p>
        </w:tc>
        <w:tc>
          <w:tcPr>
            <w:tcW w:w="617" w:type="dxa"/>
            <w:vAlign w:val="center"/>
          </w:tcPr>
          <w:p>
            <w:pPr>
              <w:pStyle w:val="130"/>
              <w:widowControl/>
              <w:snapToGrid w:val="0"/>
              <w:spacing w:after="0" w:line="360" w:lineRule="exact"/>
              <w:jc w:val="center"/>
              <w:rPr>
                <w:rFonts w:hAnsi="宋体" w:cs="宋体"/>
                <w:color w:val="auto"/>
                <w:sz w:val="22"/>
                <w:highlight w:val="none"/>
              </w:rPr>
            </w:pPr>
            <w:r>
              <w:rPr>
                <w:rFonts w:hint="eastAsia" w:hAnsi="宋体" w:cs="宋体"/>
                <w:color w:val="auto"/>
                <w:sz w:val="22"/>
                <w:highlight w:val="none"/>
              </w:rPr>
              <w:t>2</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restart"/>
            <w:vAlign w:val="center"/>
          </w:tcPr>
          <w:p>
            <w:pPr>
              <w:spacing w:after="0" w:line="360" w:lineRule="exact"/>
              <w:jc w:val="center"/>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2</w:t>
            </w:r>
          </w:p>
        </w:tc>
        <w:tc>
          <w:tcPr>
            <w:tcW w:w="1413" w:type="dxa"/>
            <w:vMerge w:val="restart"/>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拟投入人员</w:t>
            </w: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针对本项目拟派项目总负责人情况打分：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具备建筑工程类中级的得1分，具有高级及以上职称的得2分；提供职称证书扫描件否则不得分。</w:t>
            </w:r>
          </w:p>
        </w:tc>
        <w:tc>
          <w:tcPr>
            <w:tcW w:w="617" w:type="dxa"/>
            <w:vAlign w:val="center"/>
          </w:tcPr>
          <w:p>
            <w:pPr>
              <w:pStyle w:val="130"/>
              <w:widowControl/>
              <w:snapToGrid w:val="0"/>
              <w:spacing w:after="0" w:line="360" w:lineRule="exact"/>
              <w:jc w:val="center"/>
              <w:rPr>
                <w:rFonts w:hAnsi="宋体" w:cs="宋体"/>
                <w:color w:val="auto"/>
                <w:sz w:val="22"/>
                <w:highlight w:val="none"/>
              </w:rPr>
            </w:pPr>
            <w:r>
              <w:rPr>
                <w:rFonts w:hint="eastAsia" w:hAnsi="宋体" w:cs="宋体"/>
                <w:color w:val="auto"/>
                <w:sz w:val="22"/>
                <w:highlight w:val="none"/>
              </w:rPr>
              <w:t>2</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spacing w:after="0" w:line="360" w:lineRule="exact"/>
              <w:jc w:val="center"/>
              <w:rPr>
                <w:rFonts w:ascii="宋体" w:hAnsi="宋体" w:cs="宋体"/>
                <w:color w:val="auto"/>
                <w:spacing w:val="-6"/>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根据供应商项目管理团队人员配置情况（除项目总负责人），由磋商小组进行打分。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各个节点的项目负责人以及团队其他人员配置数量、专业全面，结构合理，团队人员具备类似资格、项目经验、</w:t>
            </w:r>
            <w:r>
              <w:rPr>
                <w:rFonts w:hint="eastAsia" w:ascii="宋体" w:hAnsi="宋体" w:cs="宋体"/>
                <w:color w:val="auto"/>
                <w:sz w:val="22"/>
                <w:szCs w:val="22"/>
                <w:highlight w:val="none"/>
                <w:lang w:eastAsia="zh-Hans"/>
              </w:rPr>
              <w:t>美术专业及</w:t>
            </w:r>
            <w:r>
              <w:rPr>
                <w:rFonts w:hint="eastAsia" w:ascii="宋体" w:hAnsi="宋体" w:cs="宋体"/>
                <w:color w:val="auto"/>
                <w:sz w:val="22"/>
                <w:szCs w:val="22"/>
                <w:highlight w:val="none"/>
              </w:rPr>
              <w:t>到位率情况打分。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内容针对性强得3分；内容针对性较强得2分；内容针对性一般的得1分；内容针对性不强得0.5分；不提供的不得分。</w:t>
            </w:r>
          </w:p>
        </w:tc>
        <w:tc>
          <w:tcPr>
            <w:tcW w:w="617"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3</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restart"/>
            <w:vAlign w:val="center"/>
          </w:tcPr>
          <w:p>
            <w:pPr>
              <w:spacing w:after="0" w:line="360" w:lineRule="exact"/>
              <w:jc w:val="center"/>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3</w:t>
            </w:r>
          </w:p>
        </w:tc>
        <w:tc>
          <w:tcPr>
            <w:tcW w:w="1413" w:type="dxa"/>
            <w:vMerge w:val="restart"/>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设计方案</w:t>
            </w: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展陈文本大纲版块：</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要求对策展内容进行深度调研，充分</w:t>
            </w:r>
            <w:r>
              <w:rPr>
                <w:rFonts w:hint="eastAsia" w:ascii="宋体" w:hAnsi="宋体" w:cs="宋体"/>
                <w:color w:val="auto"/>
                <w:sz w:val="22"/>
                <w:szCs w:val="22"/>
                <w:highlight w:val="none"/>
                <w:lang w:eastAsia="zh-Hans"/>
              </w:rPr>
              <w:t>符合黄溯初先生平生功业与人物交往的</w:t>
            </w:r>
            <w:r>
              <w:rPr>
                <w:rFonts w:hint="eastAsia" w:ascii="宋体" w:hAnsi="宋体" w:cs="宋体"/>
                <w:color w:val="auto"/>
                <w:sz w:val="22"/>
                <w:szCs w:val="22"/>
                <w:highlight w:val="none"/>
              </w:rPr>
              <w:t>策展主题；展陈框架需要具备思维逻辑严谨顺畅，创意要情理兼备，展陈内容要以图文并茂形式展示展陈文本设计思路；展陈内容要提炼形成科学合理，给参观者留下深刻印象；整体展陈布置要围绕策展大纲，形成科学合理的展陈分区、明确设计要点与视觉元素，给参观或</w:t>
            </w:r>
            <w:r>
              <w:rPr>
                <w:rFonts w:hint="eastAsia" w:ascii="宋体" w:hAnsi="宋体" w:cs="宋体"/>
                <w:color w:val="auto"/>
                <w:sz w:val="22"/>
                <w:szCs w:val="22"/>
                <w:highlight w:val="none"/>
                <w:lang w:eastAsia="zh-Hans"/>
              </w:rPr>
              <w:t>文化交流</w:t>
            </w:r>
            <w:r>
              <w:rPr>
                <w:rFonts w:hint="eastAsia" w:ascii="宋体" w:hAnsi="宋体" w:cs="宋体"/>
                <w:color w:val="auto"/>
                <w:sz w:val="22"/>
                <w:szCs w:val="22"/>
                <w:highlight w:val="none"/>
              </w:rPr>
              <w:t>者留下深刻印象，</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1.展陈大纲紧扣展馆主题的得</w:t>
            </w:r>
            <w:r>
              <w:rPr>
                <w:rFonts w:ascii="宋体" w:hAnsi="宋体" w:cs="宋体"/>
                <w:color w:val="auto"/>
                <w:sz w:val="22"/>
                <w:szCs w:val="22"/>
                <w:highlight w:val="none"/>
              </w:rPr>
              <w:t>5</w:t>
            </w:r>
            <w:r>
              <w:rPr>
                <w:rFonts w:hint="eastAsia" w:ascii="宋体" w:hAnsi="宋体" w:cs="宋体"/>
                <w:color w:val="auto"/>
                <w:sz w:val="22"/>
                <w:szCs w:val="22"/>
                <w:highlight w:val="none"/>
              </w:rPr>
              <w:t>分；大纲接近展馆主题的得4分；大纲基本符合主题的得3分；大纲不够贴合主题的得1分；未提供不得分。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2.展陈效果图符合本项目建筑空间实际的得</w:t>
            </w:r>
            <w:r>
              <w:rPr>
                <w:rFonts w:ascii="宋体" w:hAnsi="宋体" w:cs="宋体"/>
                <w:color w:val="auto"/>
                <w:sz w:val="22"/>
                <w:szCs w:val="22"/>
                <w:highlight w:val="none"/>
              </w:rPr>
              <w:t>5</w:t>
            </w:r>
            <w:r>
              <w:rPr>
                <w:rFonts w:hint="eastAsia" w:ascii="宋体" w:hAnsi="宋体" w:cs="宋体"/>
                <w:color w:val="auto"/>
                <w:sz w:val="22"/>
                <w:szCs w:val="22"/>
                <w:highlight w:val="none"/>
              </w:rPr>
              <w:t>分；展陈效果图比较符合建筑空间实际的得4分；展陈效果图基本符合建筑空间实际的得3分；展陈效果图不够符合建筑空间实际的得1分；未提供不得分。</w:t>
            </w:r>
          </w:p>
        </w:tc>
        <w:tc>
          <w:tcPr>
            <w:tcW w:w="617" w:type="dxa"/>
            <w:vAlign w:val="center"/>
          </w:tcPr>
          <w:p>
            <w:pPr>
              <w:spacing w:line="380" w:lineRule="exact"/>
              <w:jc w:val="center"/>
              <w:rPr>
                <w:rFonts w:ascii="宋体" w:hAnsi="宋体" w:cs="宋体"/>
                <w:color w:val="auto"/>
                <w:sz w:val="22"/>
                <w:szCs w:val="22"/>
                <w:highlight w:val="none"/>
              </w:rPr>
            </w:pPr>
            <w:r>
              <w:rPr>
                <w:rFonts w:ascii="宋体" w:hAnsi="宋体" w:cs="宋体"/>
                <w:color w:val="auto"/>
                <w:sz w:val="22"/>
                <w:szCs w:val="22"/>
                <w:highlight w:val="none"/>
              </w:rPr>
              <w:t>10</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spacing w:after="0" w:line="360" w:lineRule="exact"/>
              <w:jc w:val="center"/>
              <w:rPr>
                <w:rFonts w:ascii="宋体" w:hAnsi="宋体" w:cs="宋体"/>
                <w:color w:val="auto"/>
                <w:spacing w:val="-6"/>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eastAsia="zh-Hans"/>
              </w:rPr>
              <w:t>展陈</w:t>
            </w:r>
            <w:r>
              <w:rPr>
                <w:rFonts w:hint="eastAsia" w:ascii="宋体" w:hAnsi="宋体" w:cs="宋体"/>
                <w:color w:val="auto"/>
                <w:sz w:val="22"/>
                <w:szCs w:val="22"/>
                <w:highlight w:val="none"/>
              </w:rPr>
              <w:t>文本</w:t>
            </w:r>
            <w:r>
              <w:rPr>
                <w:rFonts w:hint="eastAsia" w:ascii="宋体" w:hAnsi="宋体" w:cs="宋体"/>
                <w:color w:val="auto"/>
                <w:sz w:val="22"/>
                <w:szCs w:val="22"/>
                <w:highlight w:val="none"/>
                <w:lang w:eastAsia="zh-Hans"/>
              </w:rPr>
              <w:t>设计</w:t>
            </w:r>
            <w:r>
              <w:rPr>
                <w:rFonts w:hint="eastAsia" w:ascii="宋体" w:hAnsi="宋体" w:cs="宋体"/>
                <w:color w:val="auto"/>
                <w:sz w:val="22"/>
                <w:szCs w:val="22"/>
                <w:highlight w:val="none"/>
              </w:rPr>
              <w:t>版块：</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运用丰富的展示形式，分别对各展陈版块文化内容进行深化设计，避免展陈方式过于单调，让参观及</w:t>
            </w:r>
            <w:r>
              <w:rPr>
                <w:rFonts w:hint="eastAsia" w:ascii="宋体" w:hAnsi="宋体" w:cs="宋体"/>
                <w:color w:val="auto"/>
                <w:sz w:val="22"/>
                <w:szCs w:val="22"/>
                <w:highlight w:val="none"/>
                <w:lang w:eastAsia="zh-Hans"/>
              </w:rPr>
              <w:t>文化交流</w:t>
            </w:r>
            <w:r>
              <w:rPr>
                <w:rFonts w:hint="eastAsia" w:ascii="宋体" w:hAnsi="宋体" w:cs="宋体"/>
                <w:color w:val="auto"/>
                <w:sz w:val="22"/>
                <w:szCs w:val="22"/>
                <w:highlight w:val="none"/>
              </w:rPr>
              <w:t>者，在参观过程中既能充分了解</w:t>
            </w:r>
            <w:r>
              <w:rPr>
                <w:rFonts w:hint="eastAsia" w:ascii="宋体" w:hAnsi="宋体" w:cs="宋体"/>
                <w:color w:val="auto"/>
                <w:sz w:val="22"/>
                <w:szCs w:val="22"/>
                <w:highlight w:val="none"/>
                <w:lang w:eastAsia="zh-Hans"/>
              </w:rPr>
              <w:t>黄溯初先生</w:t>
            </w:r>
            <w:r>
              <w:rPr>
                <w:rFonts w:hint="eastAsia" w:ascii="宋体" w:hAnsi="宋体" w:cs="宋体"/>
                <w:color w:val="auto"/>
                <w:sz w:val="22"/>
                <w:szCs w:val="22"/>
                <w:highlight w:val="none"/>
              </w:rPr>
              <w:t>的生平事迹与</w:t>
            </w:r>
            <w:r>
              <w:rPr>
                <w:rFonts w:hint="eastAsia" w:ascii="宋体" w:hAnsi="宋体" w:cs="宋体"/>
                <w:color w:val="auto"/>
                <w:sz w:val="22"/>
                <w:szCs w:val="22"/>
                <w:highlight w:val="none"/>
                <w:lang w:eastAsia="zh-Hans"/>
              </w:rPr>
              <w:t>人物</w:t>
            </w:r>
            <w:r>
              <w:rPr>
                <w:rFonts w:hint="eastAsia" w:ascii="宋体" w:hAnsi="宋体" w:cs="宋体"/>
                <w:color w:val="auto"/>
                <w:sz w:val="22"/>
                <w:szCs w:val="22"/>
                <w:highlight w:val="none"/>
              </w:rPr>
              <w:t>交往情况，同时又能对展陈空间留下深刻印象。</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eastAsia="zh-Hans"/>
              </w:rPr>
              <w:t>展陈</w:t>
            </w:r>
            <w:r>
              <w:rPr>
                <w:rFonts w:hint="eastAsia" w:ascii="宋体" w:hAnsi="宋体" w:cs="宋体"/>
                <w:color w:val="auto"/>
                <w:sz w:val="22"/>
                <w:szCs w:val="22"/>
                <w:highlight w:val="none"/>
              </w:rPr>
              <w:t>形式体现一定艺术造诣的得5分；</w:t>
            </w:r>
            <w:r>
              <w:rPr>
                <w:rFonts w:hint="eastAsia" w:ascii="宋体" w:hAnsi="宋体" w:cs="宋体"/>
                <w:color w:val="auto"/>
                <w:sz w:val="22"/>
                <w:szCs w:val="22"/>
                <w:highlight w:val="none"/>
                <w:lang w:eastAsia="zh-Hans"/>
              </w:rPr>
              <w:t>展陈</w:t>
            </w:r>
            <w:r>
              <w:rPr>
                <w:rFonts w:hint="eastAsia" w:ascii="宋体" w:hAnsi="宋体" w:cs="宋体"/>
                <w:color w:val="auto"/>
                <w:sz w:val="22"/>
                <w:szCs w:val="22"/>
                <w:highlight w:val="none"/>
              </w:rPr>
              <w:t>形式较常规的得</w:t>
            </w:r>
            <w:r>
              <w:rPr>
                <w:rFonts w:ascii="宋体" w:hAnsi="宋体" w:cs="宋体"/>
                <w:color w:val="auto"/>
                <w:sz w:val="22"/>
                <w:szCs w:val="22"/>
                <w:highlight w:val="none"/>
              </w:rPr>
              <w:t>4</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Hans"/>
              </w:rPr>
              <w:t>展陈</w:t>
            </w:r>
            <w:r>
              <w:rPr>
                <w:rFonts w:hint="eastAsia" w:ascii="宋体" w:hAnsi="宋体" w:cs="宋体"/>
                <w:color w:val="auto"/>
                <w:sz w:val="22"/>
                <w:szCs w:val="22"/>
                <w:highlight w:val="none"/>
              </w:rPr>
              <w:t>形式一般的得3分；</w:t>
            </w:r>
            <w:r>
              <w:rPr>
                <w:rFonts w:hint="eastAsia" w:ascii="宋体" w:hAnsi="宋体" w:cs="宋体"/>
                <w:color w:val="auto"/>
                <w:sz w:val="22"/>
                <w:szCs w:val="22"/>
                <w:highlight w:val="none"/>
                <w:lang w:eastAsia="zh-Hans"/>
              </w:rPr>
              <w:t>展陈</w:t>
            </w:r>
            <w:r>
              <w:rPr>
                <w:rFonts w:hint="eastAsia" w:ascii="宋体" w:hAnsi="宋体" w:cs="宋体"/>
                <w:color w:val="auto"/>
                <w:sz w:val="22"/>
                <w:szCs w:val="22"/>
                <w:highlight w:val="none"/>
              </w:rPr>
              <w:t>形式平淡的得1分；未提供不得分。</w:t>
            </w:r>
          </w:p>
        </w:tc>
        <w:tc>
          <w:tcPr>
            <w:tcW w:w="617"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spacing w:after="0" w:line="360" w:lineRule="exact"/>
              <w:jc w:val="center"/>
              <w:rPr>
                <w:rFonts w:ascii="宋体" w:hAnsi="宋体" w:cs="宋体"/>
                <w:color w:val="auto"/>
                <w:spacing w:val="-6"/>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项目建筑空间设计版块：</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展陈空间室内及庭院设计方案</w:t>
            </w:r>
            <w:r>
              <w:rPr>
                <w:rFonts w:hint="eastAsia" w:ascii="宋体" w:hAnsi="宋体" w:cs="宋体"/>
                <w:color w:val="auto"/>
                <w:sz w:val="22"/>
                <w:szCs w:val="22"/>
                <w:highlight w:val="none"/>
                <w:lang w:eastAsia="zh-Hans"/>
              </w:rPr>
              <w:t>要求</w:t>
            </w:r>
            <w:r>
              <w:rPr>
                <w:rFonts w:hint="eastAsia" w:ascii="宋体" w:hAnsi="宋体" w:cs="宋体"/>
                <w:color w:val="auto"/>
                <w:sz w:val="22"/>
                <w:szCs w:val="22"/>
                <w:highlight w:val="none"/>
              </w:rPr>
              <w:t>不仅要体现</w:t>
            </w:r>
            <w:r>
              <w:rPr>
                <w:rFonts w:hint="eastAsia" w:ascii="宋体" w:hAnsi="宋体" w:cs="宋体"/>
                <w:color w:val="auto"/>
                <w:sz w:val="22"/>
                <w:szCs w:val="22"/>
                <w:highlight w:val="none"/>
                <w:lang w:eastAsia="zh-Hans"/>
              </w:rPr>
              <w:t>民国时期室内装饰风格特征</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rPr>
              <w:t>同时</w:t>
            </w:r>
            <w:r>
              <w:rPr>
                <w:rFonts w:hint="eastAsia" w:ascii="宋体" w:hAnsi="宋体" w:cs="宋体"/>
                <w:color w:val="auto"/>
                <w:sz w:val="22"/>
                <w:szCs w:val="22"/>
                <w:highlight w:val="none"/>
                <w:lang w:eastAsia="zh-Hans"/>
              </w:rPr>
              <w:t>建筑室内装饰</w:t>
            </w:r>
            <w:r>
              <w:rPr>
                <w:rFonts w:hint="eastAsia" w:ascii="宋体" w:hAnsi="宋体" w:cs="宋体"/>
                <w:color w:val="auto"/>
                <w:sz w:val="22"/>
                <w:szCs w:val="22"/>
                <w:highlight w:val="none"/>
              </w:rPr>
              <w:t>及庭院优化设计也要</w:t>
            </w:r>
            <w:r>
              <w:rPr>
                <w:rFonts w:hint="eastAsia" w:ascii="宋体" w:hAnsi="宋体" w:cs="宋体"/>
                <w:color w:val="auto"/>
                <w:sz w:val="22"/>
                <w:szCs w:val="22"/>
                <w:highlight w:val="none"/>
                <w:lang w:eastAsia="zh-Hans"/>
              </w:rPr>
              <w:t>反应</w:t>
            </w:r>
            <w:r>
              <w:rPr>
                <w:rFonts w:hint="eastAsia" w:ascii="宋体" w:hAnsi="宋体" w:cs="宋体"/>
                <w:color w:val="auto"/>
                <w:sz w:val="22"/>
                <w:szCs w:val="22"/>
                <w:highlight w:val="none"/>
              </w:rPr>
              <w:t>运营定位人群</w:t>
            </w:r>
            <w:r>
              <w:rPr>
                <w:rFonts w:hint="eastAsia" w:ascii="宋体" w:hAnsi="宋体" w:cs="宋体"/>
                <w:color w:val="auto"/>
                <w:sz w:val="22"/>
                <w:szCs w:val="22"/>
                <w:highlight w:val="none"/>
                <w:lang w:eastAsia="zh-Hans"/>
              </w:rPr>
              <w:t>的</w:t>
            </w:r>
            <w:r>
              <w:rPr>
                <w:rFonts w:hint="eastAsia" w:ascii="宋体" w:hAnsi="宋体" w:cs="宋体"/>
                <w:color w:val="auto"/>
                <w:sz w:val="22"/>
                <w:szCs w:val="22"/>
                <w:highlight w:val="none"/>
              </w:rPr>
              <w:t>健康</w:t>
            </w:r>
            <w:r>
              <w:rPr>
                <w:rFonts w:hint="eastAsia" w:ascii="宋体" w:hAnsi="宋体" w:cs="宋体"/>
                <w:color w:val="auto"/>
                <w:sz w:val="22"/>
                <w:szCs w:val="22"/>
                <w:highlight w:val="none"/>
                <w:lang w:eastAsia="zh-Hans"/>
              </w:rPr>
              <w:t>的人文的生活的审美情趣</w:t>
            </w:r>
            <w:r>
              <w:rPr>
                <w:rFonts w:hint="eastAsia" w:ascii="宋体" w:hAnsi="宋体" w:cs="宋体"/>
                <w:color w:val="auto"/>
                <w:sz w:val="22"/>
                <w:szCs w:val="22"/>
                <w:highlight w:val="none"/>
              </w:rPr>
              <w:t>；在空间功能布局上，要符合该项目空间参观动线、日常运营功能空间需求以及满足后续</w:t>
            </w:r>
            <w:r>
              <w:rPr>
                <w:rFonts w:hint="eastAsia" w:ascii="宋体" w:hAnsi="宋体" w:cs="宋体"/>
                <w:color w:val="auto"/>
                <w:sz w:val="22"/>
                <w:szCs w:val="22"/>
                <w:highlight w:val="none"/>
                <w:lang w:eastAsia="zh-Hans"/>
              </w:rPr>
              <w:t>空间</w:t>
            </w:r>
            <w:r>
              <w:rPr>
                <w:rFonts w:hint="eastAsia" w:ascii="宋体" w:hAnsi="宋体" w:cs="宋体"/>
                <w:color w:val="auto"/>
                <w:sz w:val="22"/>
                <w:szCs w:val="22"/>
                <w:highlight w:val="none"/>
              </w:rPr>
              <w:t>文化艺术展陈</w:t>
            </w:r>
            <w:r>
              <w:rPr>
                <w:rFonts w:hint="eastAsia" w:ascii="宋体" w:hAnsi="宋体" w:cs="宋体"/>
                <w:color w:val="auto"/>
                <w:sz w:val="22"/>
                <w:szCs w:val="22"/>
                <w:highlight w:val="none"/>
                <w:lang w:eastAsia="zh-Hans"/>
              </w:rPr>
              <w:t>灵活多变</w:t>
            </w:r>
            <w:r>
              <w:rPr>
                <w:rFonts w:hint="eastAsia" w:ascii="宋体" w:hAnsi="宋体" w:cs="宋体"/>
                <w:color w:val="auto"/>
                <w:sz w:val="22"/>
                <w:szCs w:val="22"/>
                <w:highlight w:val="none"/>
              </w:rPr>
              <w:t>的小型展览与文学艺术交流、研学活动。</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1.空间功能布局符合项目主题展陈框架的得5分；布局较合理的得4分；布局基本合理的得3分；布局不够合理的得1分；未提供不得分。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2.建筑空间风格设计符合项目建筑风格实际的得5分；比较符合建筑风格实际的得4分；基本符合建筑风格实际的得3分；不够符合建筑风格实际的得1分；未提供不得分。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3.功能空间布局符合项目运营需求的得5分；比较符合运营需求的得4分；基本符合运营需求的得3分；不够符合运营需求的得1分；未提供不得分。</w:t>
            </w:r>
          </w:p>
        </w:tc>
        <w:tc>
          <w:tcPr>
            <w:tcW w:w="617"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spacing w:after="0" w:line="360" w:lineRule="exact"/>
              <w:jc w:val="center"/>
              <w:rPr>
                <w:rFonts w:ascii="宋体" w:hAnsi="宋体" w:cs="宋体"/>
                <w:color w:val="auto"/>
                <w:spacing w:val="-6"/>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eastAsia="zh-Hans"/>
              </w:rPr>
              <w:t>效果图设计</w:t>
            </w:r>
            <w:r>
              <w:rPr>
                <w:rFonts w:hint="eastAsia" w:ascii="宋体" w:hAnsi="宋体" w:cs="宋体"/>
                <w:color w:val="auto"/>
                <w:sz w:val="22"/>
                <w:szCs w:val="22"/>
                <w:highlight w:val="none"/>
              </w:rPr>
              <w:t>制作版块：</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展陈建筑空间装饰效果图既要体现</w:t>
            </w:r>
            <w:r>
              <w:rPr>
                <w:rFonts w:hint="eastAsia" w:ascii="宋体" w:hAnsi="宋体" w:cs="宋体"/>
                <w:color w:val="auto"/>
                <w:sz w:val="22"/>
                <w:szCs w:val="22"/>
                <w:highlight w:val="none"/>
                <w:lang w:eastAsia="zh-Hans"/>
              </w:rPr>
              <w:t>民国时期室内装饰风格特征</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rPr>
              <w:t>又</w:t>
            </w:r>
            <w:r>
              <w:rPr>
                <w:rFonts w:hint="eastAsia" w:ascii="宋体" w:hAnsi="宋体" w:cs="宋体"/>
                <w:color w:val="auto"/>
                <w:sz w:val="22"/>
                <w:szCs w:val="22"/>
                <w:highlight w:val="none"/>
                <w:lang w:eastAsia="zh-Hans"/>
              </w:rPr>
              <w:t>能够反应</w:t>
            </w:r>
            <w:r>
              <w:rPr>
                <w:rFonts w:hint="eastAsia" w:ascii="宋体" w:hAnsi="宋体" w:cs="宋体"/>
                <w:color w:val="auto"/>
                <w:sz w:val="22"/>
                <w:szCs w:val="22"/>
                <w:highlight w:val="none"/>
              </w:rPr>
              <w:t>运营定位</w:t>
            </w:r>
            <w:r>
              <w:rPr>
                <w:rFonts w:hint="eastAsia" w:ascii="宋体" w:hAnsi="宋体" w:cs="宋体"/>
                <w:color w:val="auto"/>
                <w:sz w:val="22"/>
                <w:szCs w:val="22"/>
                <w:highlight w:val="none"/>
                <w:lang w:eastAsia="zh-Hans"/>
              </w:rPr>
              <w:t>人群的</w:t>
            </w:r>
            <w:r>
              <w:rPr>
                <w:rFonts w:hint="eastAsia" w:ascii="宋体" w:hAnsi="宋体" w:cs="宋体"/>
                <w:color w:val="auto"/>
                <w:sz w:val="22"/>
                <w:szCs w:val="22"/>
                <w:highlight w:val="none"/>
              </w:rPr>
              <w:t>健康</w:t>
            </w:r>
            <w:r>
              <w:rPr>
                <w:rFonts w:hint="eastAsia" w:ascii="宋体" w:hAnsi="宋体" w:cs="宋体"/>
                <w:color w:val="auto"/>
                <w:sz w:val="22"/>
                <w:szCs w:val="22"/>
                <w:highlight w:val="none"/>
                <w:lang w:eastAsia="zh-Hans"/>
              </w:rPr>
              <w:t>的人文的生活的审美情趣</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Hans"/>
              </w:rPr>
              <w:t>效果图</w:t>
            </w:r>
            <w:r>
              <w:rPr>
                <w:rFonts w:hint="eastAsia" w:ascii="宋体" w:hAnsi="宋体" w:cs="宋体"/>
                <w:color w:val="auto"/>
                <w:sz w:val="22"/>
                <w:szCs w:val="22"/>
                <w:highlight w:val="none"/>
              </w:rPr>
              <w:t>要完整、客观展示建筑空间的改造效果，效果图要展线主要展陈节点的空间氛围、效果图</w:t>
            </w:r>
            <w:r>
              <w:rPr>
                <w:rFonts w:hint="eastAsia" w:ascii="宋体" w:hAnsi="宋体" w:cs="宋体"/>
                <w:color w:val="auto"/>
                <w:sz w:val="22"/>
                <w:szCs w:val="22"/>
                <w:highlight w:val="none"/>
                <w:lang w:eastAsia="zh-Hans"/>
              </w:rPr>
              <w:t>构图</w:t>
            </w:r>
            <w:r>
              <w:rPr>
                <w:rFonts w:hint="eastAsia" w:ascii="宋体" w:hAnsi="宋体" w:cs="宋体"/>
                <w:color w:val="auto"/>
                <w:sz w:val="22"/>
                <w:szCs w:val="22"/>
                <w:highlight w:val="none"/>
              </w:rPr>
              <w:t>完整、</w:t>
            </w:r>
            <w:r>
              <w:rPr>
                <w:rFonts w:hint="eastAsia" w:ascii="宋体" w:hAnsi="宋体" w:cs="宋体"/>
                <w:color w:val="auto"/>
                <w:sz w:val="22"/>
                <w:szCs w:val="22"/>
                <w:highlight w:val="none"/>
                <w:lang w:eastAsia="zh-Hans"/>
              </w:rPr>
              <w:t>空间层次清晰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Hans"/>
              </w:rPr>
              <w:t>细节处理</w:t>
            </w:r>
            <w:r>
              <w:rPr>
                <w:rFonts w:hint="eastAsia" w:ascii="宋体" w:hAnsi="宋体" w:cs="宋体"/>
                <w:color w:val="auto"/>
                <w:sz w:val="22"/>
                <w:szCs w:val="22"/>
                <w:highlight w:val="none"/>
              </w:rPr>
              <w:t>得当</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lang w:eastAsia="zh-Hans"/>
              </w:rPr>
              <w:t>需</w:t>
            </w:r>
            <w:r>
              <w:rPr>
                <w:rFonts w:hint="eastAsia" w:ascii="宋体" w:hAnsi="宋体" w:cs="宋体"/>
                <w:color w:val="auto"/>
                <w:sz w:val="22"/>
                <w:szCs w:val="22"/>
                <w:highlight w:val="none"/>
              </w:rPr>
              <w:t>提供</w:t>
            </w:r>
            <w:r>
              <w:rPr>
                <w:rFonts w:ascii="宋体" w:hAnsi="宋体" w:cs="宋体"/>
                <w:color w:val="auto"/>
                <w:sz w:val="22"/>
                <w:szCs w:val="22"/>
                <w:highlight w:val="none"/>
                <w:lang w:eastAsia="zh-Hans"/>
              </w:rPr>
              <w:t>360</w:t>
            </w:r>
            <w:r>
              <w:rPr>
                <w:rFonts w:hint="eastAsia" w:ascii="宋体" w:hAnsi="宋体" w:cs="宋体"/>
                <w:color w:val="auto"/>
                <w:sz w:val="22"/>
                <w:szCs w:val="22"/>
                <w:highlight w:val="none"/>
                <w:lang w:eastAsia="zh-Hans"/>
              </w:rPr>
              <w:t>全景漫游与</w:t>
            </w:r>
            <w:r>
              <w:rPr>
                <w:rFonts w:hint="eastAsia" w:ascii="宋体" w:hAnsi="宋体" w:cs="宋体"/>
                <w:color w:val="auto"/>
                <w:sz w:val="22"/>
                <w:szCs w:val="22"/>
                <w:highlight w:val="none"/>
              </w:rPr>
              <w:t>实景效果图主入口门楼效果方案2套、庭院效果3张，入馆序厅玄关效果方案2套，一楼效果图3张，二楼效果图3张；充分表达展馆内各个角度并提供设计说明。</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1.展陈建筑空间效果图设计表达充分的得4分；</w:t>
            </w:r>
            <w:r>
              <w:rPr>
                <w:rFonts w:hint="eastAsia" w:ascii="宋体" w:hAnsi="宋体" w:cs="宋体"/>
                <w:color w:val="auto"/>
                <w:sz w:val="22"/>
                <w:szCs w:val="22"/>
                <w:highlight w:val="none"/>
                <w:lang w:eastAsia="zh-Hans"/>
              </w:rPr>
              <w:t>设计</w:t>
            </w:r>
            <w:r>
              <w:rPr>
                <w:rFonts w:hint="eastAsia" w:ascii="宋体" w:hAnsi="宋体" w:cs="宋体"/>
                <w:color w:val="auto"/>
                <w:sz w:val="22"/>
                <w:szCs w:val="22"/>
                <w:highlight w:val="none"/>
              </w:rPr>
              <w:t>表达较合理的得3分；</w:t>
            </w:r>
            <w:r>
              <w:rPr>
                <w:rFonts w:hint="eastAsia" w:ascii="宋体" w:hAnsi="宋体" w:cs="宋体"/>
                <w:color w:val="auto"/>
                <w:sz w:val="22"/>
                <w:szCs w:val="22"/>
                <w:highlight w:val="none"/>
                <w:lang w:eastAsia="zh-Hans"/>
              </w:rPr>
              <w:t>设计</w:t>
            </w:r>
            <w:r>
              <w:rPr>
                <w:rFonts w:hint="eastAsia" w:ascii="宋体" w:hAnsi="宋体" w:cs="宋体"/>
                <w:color w:val="auto"/>
                <w:sz w:val="22"/>
                <w:szCs w:val="22"/>
                <w:highlight w:val="none"/>
              </w:rPr>
              <w:t>表达基本合理的得2分；</w:t>
            </w:r>
            <w:r>
              <w:rPr>
                <w:rFonts w:hint="eastAsia" w:ascii="宋体" w:hAnsi="宋体" w:cs="宋体"/>
                <w:color w:val="auto"/>
                <w:sz w:val="22"/>
                <w:szCs w:val="22"/>
                <w:highlight w:val="none"/>
                <w:lang w:eastAsia="zh-Hans"/>
              </w:rPr>
              <w:t>设计</w:t>
            </w:r>
            <w:r>
              <w:rPr>
                <w:rFonts w:hint="eastAsia" w:ascii="宋体" w:hAnsi="宋体" w:cs="宋体"/>
                <w:color w:val="auto"/>
                <w:sz w:val="22"/>
                <w:szCs w:val="22"/>
                <w:highlight w:val="none"/>
              </w:rPr>
              <w:t>表达不够合理的得1分；未提供不得分。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展陈建筑空间效果图设计符合本项目展馆展示与运营实际的得4分；较符合本项目展馆展示与运营实际的得3分；基本符合本项目展馆展示与运营实际的得2分；不够符合本项目展馆展示与运营实际的得1分；未提供不得分。</w:t>
            </w:r>
          </w:p>
        </w:tc>
        <w:tc>
          <w:tcPr>
            <w:tcW w:w="617"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spacing w:after="0" w:line="360" w:lineRule="exact"/>
              <w:jc w:val="center"/>
              <w:rPr>
                <w:rFonts w:ascii="宋体" w:hAnsi="宋体" w:cs="宋体"/>
                <w:color w:val="auto"/>
                <w:spacing w:val="-6"/>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施工图设计版块：</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施工图版块要总体反应设计方案实施内容、实施制作节点、室内装饰、整体策划和布展设计等施工图设计深度及合理性。基于方案设计基础上优化，包括设计说明、平面图、立面图、节点图、剖面图、强弱电、暖通、消防、智能化等图纸。</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施工图设计制作主体完备的得</w:t>
            </w:r>
            <w:r>
              <w:rPr>
                <w:rFonts w:ascii="宋体" w:hAnsi="宋体" w:cs="宋体"/>
                <w:color w:val="auto"/>
                <w:sz w:val="22"/>
                <w:szCs w:val="22"/>
                <w:highlight w:val="none"/>
              </w:rPr>
              <w:t>6</w:t>
            </w:r>
            <w:r>
              <w:rPr>
                <w:rFonts w:hint="eastAsia" w:ascii="宋体" w:hAnsi="宋体" w:cs="宋体"/>
                <w:color w:val="auto"/>
                <w:sz w:val="22"/>
                <w:szCs w:val="22"/>
                <w:highlight w:val="none"/>
              </w:rPr>
              <w:t>分；设计制作较为完备的得</w:t>
            </w:r>
            <w:r>
              <w:rPr>
                <w:rFonts w:ascii="宋体" w:hAnsi="宋体" w:cs="宋体"/>
                <w:color w:val="auto"/>
                <w:sz w:val="22"/>
                <w:szCs w:val="22"/>
                <w:highlight w:val="none"/>
              </w:rPr>
              <w:t>4</w:t>
            </w:r>
            <w:r>
              <w:rPr>
                <w:rFonts w:hint="eastAsia" w:ascii="宋体" w:hAnsi="宋体" w:cs="宋体"/>
                <w:color w:val="auto"/>
                <w:sz w:val="22"/>
                <w:szCs w:val="22"/>
                <w:highlight w:val="none"/>
              </w:rPr>
              <w:t>分；设计制作基本完备的得3分；设计制作不完备的得1分；未提供不得分。</w:t>
            </w:r>
          </w:p>
        </w:tc>
        <w:tc>
          <w:tcPr>
            <w:tcW w:w="617" w:type="dxa"/>
            <w:vAlign w:val="center"/>
          </w:tcPr>
          <w:p>
            <w:pPr>
              <w:spacing w:line="380" w:lineRule="exact"/>
              <w:jc w:val="center"/>
              <w:rPr>
                <w:rFonts w:ascii="宋体" w:hAnsi="宋体" w:cs="宋体"/>
                <w:color w:val="auto"/>
                <w:sz w:val="22"/>
                <w:szCs w:val="22"/>
                <w:highlight w:val="none"/>
              </w:rPr>
            </w:pPr>
            <w:r>
              <w:rPr>
                <w:rFonts w:ascii="宋体" w:hAnsi="宋体" w:cs="宋体"/>
                <w:color w:val="auto"/>
                <w:sz w:val="22"/>
                <w:szCs w:val="22"/>
                <w:highlight w:val="none"/>
              </w:rPr>
              <w:t>6</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spacing w:after="0" w:line="360" w:lineRule="exact"/>
              <w:jc w:val="center"/>
              <w:rPr>
                <w:rFonts w:ascii="宋体" w:hAnsi="宋体" w:cs="宋体"/>
                <w:color w:val="auto"/>
                <w:spacing w:val="-6"/>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软装建议性方案</w:t>
            </w:r>
            <w:r>
              <w:rPr>
                <w:rFonts w:ascii="宋体" w:hAnsi="宋体" w:cs="宋体"/>
                <w:color w:val="auto"/>
                <w:sz w:val="22"/>
                <w:szCs w:val="22"/>
                <w:highlight w:val="none"/>
                <w:lang w:eastAsia="zh-Hans"/>
              </w:rPr>
              <w:t>：</w:t>
            </w:r>
          </w:p>
          <w:p>
            <w:pPr>
              <w:pStyle w:val="2"/>
              <w:ind w:firstLine="0" w:firstLineChars="0"/>
              <w:rPr>
                <w:color w:val="auto"/>
                <w:highlight w:val="none"/>
              </w:rPr>
            </w:pPr>
            <w:r>
              <w:rPr>
                <w:rFonts w:hint="eastAsia" w:ascii="宋体" w:hAnsi="宋体" w:cs="宋体"/>
                <w:color w:val="auto"/>
                <w:sz w:val="22"/>
                <w:szCs w:val="22"/>
                <w:highlight w:val="none"/>
              </w:rPr>
              <w:t>即</w:t>
            </w:r>
            <w:r>
              <w:rPr>
                <w:rFonts w:hint="eastAsia" w:ascii="宋体" w:hAnsi="宋体" w:cs="宋体"/>
                <w:color w:val="auto"/>
                <w:sz w:val="22"/>
                <w:szCs w:val="22"/>
                <w:highlight w:val="none"/>
                <w:lang w:eastAsia="zh-Hans"/>
              </w:rPr>
              <w:t>符合民国时期室内装饰风格特征</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rPr>
              <w:t>又</w:t>
            </w:r>
            <w:r>
              <w:rPr>
                <w:rFonts w:hint="eastAsia" w:ascii="宋体" w:hAnsi="宋体" w:cs="宋体"/>
                <w:color w:val="auto"/>
                <w:sz w:val="22"/>
                <w:szCs w:val="22"/>
                <w:highlight w:val="none"/>
                <w:lang w:eastAsia="zh-Hans"/>
              </w:rPr>
              <w:t>能够反应</w:t>
            </w:r>
            <w:r>
              <w:rPr>
                <w:rFonts w:hint="eastAsia" w:ascii="宋体" w:hAnsi="宋体" w:cs="宋体"/>
                <w:color w:val="auto"/>
                <w:sz w:val="22"/>
                <w:szCs w:val="22"/>
                <w:highlight w:val="none"/>
              </w:rPr>
              <w:t>运营定位</w:t>
            </w:r>
            <w:r>
              <w:rPr>
                <w:rFonts w:hint="eastAsia" w:ascii="宋体" w:hAnsi="宋体" w:cs="宋体"/>
                <w:color w:val="auto"/>
                <w:sz w:val="22"/>
                <w:szCs w:val="22"/>
                <w:highlight w:val="none"/>
                <w:lang w:eastAsia="zh-Hans"/>
              </w:rPr>
              <w:t>人群的</w:t>
            </w:r>
            <w:r>
              <w:rPr>
                <w:rFonts w:hint="eastAsia" w:ascii="宋体" w:hAnsi="宋体" w:cs="宋体"/>
                <w:color w:val="auto"/>
                <w:sz w:val="22"/>
                <w:szCs w:val="22"/>
                <w:highlight w:val="none"/>
              </w:rPr>
              <w:t>健康</w:t>
            </w:r>
            <w:r>
              <w:rPr>
                <w:rFonts w:hint="eastAsia" w:ascii="宋体" w:hAnsi="宋体" w:cs="宋体"/>
                <w:color w:val="auto"/>
                <w:sz w:val="22"/>
                <w:szCs w:val="22"/>
                <w:highlight w:val="none"/>
                <w:lang w:eastAsia="zh-Hans"/>
              </w:rPr>
              <w:t>的人文的生活的审美情趣的软装方案</w:t>
            </w:r>
            <w:r>
              <w:rPr>
                <w:rFonts w:hint="eastAsia" w:ascii="宋体" w:hAnsi="宋体" w:cs="宋体"/>
                <w:color w:val="auto"/>
                <w:sz w:val="22"/>
                <w:szCs w:val="22"/>
                <w:highlight w:val="none"/>
              </w:rPr>
              <w:t>。内容针对性强得5分；内容针对性较强得4分；内容针对性一般的得3分；内容针对性不强得1分；不提供的不得分。</w:t>
            </w:r>
          </w:p>
        </w:tc>
        <w:tc>
          <w:tcPr>
            <w:tcW w:w="617" w:type="dxa"/>
            <w:vAlign w:val="center"/>
          </w:tcPr>
          <w:p>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lang w:eastAsia="zh-Hans"/>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spacing w:after="0" w:line="360" w:lineRule="exact"/>
              <w:jc w:val="center"/>
              <w:rPr>
                <w:rFonts w:ascii="宋体" w:hAnsi="宋体" w:cs="宋体"/>
                <w:color w:val="auto"/>
                <w:spacing w:val="-6"/>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lang w:eastAsia="zh-Hans"/>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Hans"/>
              </w:rPr>
              <w:t>黄溯初</w:t>
            </w:r>
            <w:r>
              <w:rPr>
                <w:rFonts w:hint="eastAsia" w:ascii="宋体" w:hAnsi="宋体" w:cs="宋体"/>
                <w:color w:val="auto"/>
                <w:sz w:val="22"/>
                <w:szCs w:val="22"/>
                <w:highlight w:val="none"/>
              </w:rPr>
              <w:t>》人物创意油画肖像画绘制方案</w:t>
            </w:r>
            <w:r>
              <w:rPr>
                <w:rFonts w:ascii="宋体" w:hAnsi="宋体" w:cs="宋体"/>
                <w:color w:val="auto"/>
                <w:sz w:val="22"/>
                <w:szCs w:val="22"/>
                <w:highlight w:val="none"/>
                <w:lang w:eastAsia="zh-Hans"/>
              </w:rPr>
              <w:t>：</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eastAsia="zh-Hans"/>
              </w:rPr>
              <w:t>根据黄溯初先生的生平</w:t>
            </w:r>
            <w:r>
              <w:rPr>
                <w:rFonts w:hint="eastAsia" w:ascii="宋体" w:hAnsi="宋体" w:cs="宋体"/>
                <w:color w:val="auto"/>
                <w:sz w:val="22"/>
                <w:szCs w:val="22"/>
                <w:highlight w:val="none"/>
              </w:rPr>
              <w:t>生活特征，</w:t>
            </w:r>
            <w:r>
              <w:rPr>
                <w:rFonts w:hint="eastAsia" w:ascii="宋体" w:hAnsi="宋体" w:cs="宋体"/>
                <w:color w:val="auto"/>
                <w:sz w:val="22"/>
                <w:szCs w:val="22"/>
                <w:highlight w:val="none"/>
                <w:lang w:eastAsia="zh-Hans"/>
              </w:rPr>
              <w:t>结合别院生活化场景</w:t>
            </w:r>
            <w:r>
              <w:rPr>
                <w:rFonts w:hint="eastAsia" w:ascii="宋体" w:hAnsi="宋体" w:cs="宋体"/>
                <w:color w:val="auto"/>
                <w:sz w:val="22"/>
                <w:szCs w:val="22"/>
                <w:highlight w:val="none"/>
              </w:rPr>
              <w:t>进行</w:t>
            </w:r>
            <w:r>
              <w:rPr>
                <w:rFonts w:hint="eastAsia" w:ascii="宋体" w:hAnsi="宋体" w:cs="宋体"/>
                <w:color w:val="auto"/>
                <w:sz w:val="22"/>
                <w:szCs w:val="22"/>
                <w:highlight w:val="none"/>
                <w:lang w:eastAsia="zh-Hans"/>
              </w:rPr>
              <w:t>油画创作</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lang w:eastAsia="zh-Hans"/>
              </w:rPr>
              <w:t>要求油画</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Hans"/>
              </w:rPr>
              <w:t>主题</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Hans"/>
              </w:rPr>
              <w:t>风格与环境相协调</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lang w:eastAsia="zh-Hans"/>
              </w:rPr>
              <w:t>油画</w:t>
            </w:r>
            <w:r>
              <w:rPr>
                <w:rFonts w:hint="eastAsia" w:ascii="宋体" w:hAnsi="宋体" w:cs="宋体"/>
                <w:color w:val="auto"/>
                <w:sz w:val="22"/>
                <w:szCs w:val="22"/>
                <w:highlight w:val="none"/>
              </w:rPr>
              <w:t>内容人物</w:t>
            </w:r>
            <w:r>
              <w:rPr>
                <w:rFonts w:hint="eastAsia" w:ascii="宋体" w:hAnsi="宋体" w:cs="宋体"/>
                <w:color w:val="auto"/>
                <w:sz w:val="22"/>
                <w:szCs w:val="22"/>
                <w:highlight w:val="none"/>
                <w:lang w:eastAsia="zh-Hans"/>
              </w:rPr>
              <w:t>比例和形态应符合黄溯初</w:t>
            </w:r>
            <w:r>
              <w:rPr>
                <w:rFonts w:hint="eastAsia" w:ascii="宋体" w:hAnsi="宋体" w:cs="宋体"/>
                <w:color w:val="auto"/>
                <w:sz w:val="22"/>
                <w:szCs w:val="22"/>
                <w:highlight w:val="none"/>
              </w:rPr>
              <w:t>本人形态特征</w:t>
            </w:r>
            <w:r>
              <w:rPr>
                <w:rFonts w:ascii="宋体" w:hAnsi="宋体" w:cs="宋体"/>
                <w:color w:val="auto"/>
                <w:sz w:val="22"/>
                <w:szCs w:val="22"/>
                <w:highlight w:val="none"/>
                <w:lang w:eastAsia="zh-Hans"/>
              </w:rPr>
              <w:t>，</w:t>
            </w:r>
            <w:r>
              <w:rPr>
                <w:rFonts w:hint="eastAsia" w:ascii="宋体" w:hAnsi="宋体" w:cs="宋体"/>
                <w:color w:val="auto"/>
                <w:sz w:val="22"/>
                <w:szCs w:val="22"/>
                <w:highlight w:val="none"/>
              </w:rPr>
              <w:t>要体现</w:t>
            </w:r>
            <w:r>
              <w:rPr>
                <w:rFonts w:hint="eastAsia" w:ascii="宋体" w:hAnsi="宋体" w:cs="宋体"/>
                <w:color w:val="auto"/>
                <w:sz w:val="22"/>
                <w:szCs w:val="22"/>
                <w:highlight w:val="none"/>
                <w:lang w:eastAsia="zh-Hans"/>
              </w:rPr>
              <w:t>黄溯初先生爱国敬乡</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Hans"/>
              </w:rPr>
              <w:t>平生志业的精神气质</w:t>
            </w:r>
            <w:r>
              <w:rPr>
                <w:rFonts w:hint="eastAsia" w:ascii="宋体" w:hAnsi="宋体" w:cs="宋体"/>
                <w:color w:val="auto"/>
                <w:sz w:val="22"/>
                <w:szCs w:val="22"/>
                <w:highlight w:val="none"/>
              </w:rPr>
              <w:t>；同时、油画</w:t>
            </w:r>
            <w:r>
              <w:rPr>
                <w:rFonts w:hint="eastAsia" w:ascii="宋体" w:hAnsi="宋体" w:cs="宋体"/>
                <w:color w:val="auto"/>
                <w:sz w:val="22"/>
                <w:szCs w:val="22"/>
                <w:highlight w:val="none"/>
                <w:lang w:eastAsia="zh-Hans"/>
              </w:rPr>
              <w:t>创作</w:t>
            </w:r>
            <w:r>
              <w:rPr>
                <w:rFonts w:hint="eastAsia" w:ascii="宋体" w:hAnsi="宋体" w:cs="宋体"/>
                <w:color w:val="auto"/>
                <w:sz w:val="22"/>
                <w:szCs w:val="22"/>
                <w:highlight w:val="none"/>
              </w:rPr>
              <w:t>者至少</w:t>
            </w:r>
            <w:r>
              <w:rPr>
                <w:rFonts w:hint="eastAsia" w:ascii="宋体" w:hAnsi="宋体" w:cs="宋体"/>
                <w:color w:val="auto"/>
                <w:sz w:val="22"/>
                <w:szCs w:val="22"/>
                <w:highlight w:val="none"/>
                <w:lang w:eastAsia="zh-Hans"/>
              </w:rPr>
              <w:t>需具备</w:t>
            </w:r>
            <w:r>
              <w:rPr>
                <w:rFonts w:hint="eastAsia" w:ascii="宋体" w:hAnsi="宋体" w:cs="宋体"/>
                <w:color w:val="auto"/>
                <w:sz w:val="22"/>
                <w:szCs w:val="22"/>
                <w:highlight w:val="none"/>
              </w:rPr>
              <w:t>艺术</w:t>
            </w:r>
            <w:r>
              <w:rPr>
                <w:rFonts w:hint="eastAsia" w:ascii="宋体" w:hAnsi="宋体" w:cs="宋体"/>
                <w:color w:val="auto"/>
                <w:sz w:val="22"/>
                <w:szCs w:val="22"/>
                <w:highlight w:val="none"/>
                <w:lang w:eastAsia="zh-Hans"/>
              </w:rPr>
              <w:t>创作</w:t>
            </w:r>
            <w:r>
              <w:rPr>
                <w:rFonts w:hint="eastAsia" w:ascii="宋体" w:hAnsi="宋体" w:cs="宋体"/>
                <w:color w:val="auto"/>
                <w:sz w:val="22"/>
                <w:szCs w:val="22"/>
                <w:highlight w:val="none"/>
              </w:rPr>
              <w:t>入选过全国</w:t>
            </w:r>
            <w:r>
              <w:rPr>
                <w:rFonts w:hint="eastAsia" w:ascii="宋体" w:hAnsi="宋体" w:cs="宋体"/>
                <w:color w:val="auto"/>
                <w:sz w:val="22"/>
                <w:szCs w:val="22"/>
                <w:highlight w:val="none"/>
                <w:lang w:eastAsia="zh-Hans"/>
              </w:rPr>
              <w:t>美</w:t>
            </w:r>
            <w:r>
              <w:rPr>
                <w:rFonts w:hint="eastAsia" w:ascii="宋体" w:hAnsi="宋体" w:cs="宋体"/>
                <w:color w:val="auto"/>
                <w:sz w:val="22"/>
                <w:szCs w:val="22"/>
                <w:highlight w:val="none"/>
              </w:rPr>
              <w:t>展的资格；</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方案符合《</w:t>
            </w:r>
            <w:r>
              <w:rPr>
                <w:rFonts w:hint="eastAsia" w:ascii="宋体" w:hAnsi="宋体" w:cs="宋体"/>
                <w:color w:val="auto"/>
                <w:sz w:val="22"/>
                <w:szCs w:val="22"/>
                <w:highlight w:val="none"/>
                <w:lang w:eastAsia="zh-Hans"/>
              </w:rPr>
              <w:t>黄溯初</w:t>
            </w:r>
            <w:r>
              <w:rPr>
                <w:rFonts w:hint="eastAsia" w:ascii="宋体" w:hAnsi="宋体" w:cs="宋体"/>
                <w:color w:val="auto"/>
                <w:sz w:val="22"/>
                <w:szCs w:val="22"/>
                <w:highlight w:val="none"/>
              </w:rPr>
              <w:t>》人物特质的得</w:t>
            </w:r>
            <w:r>
              <w:rPr>
                <w:rFonts w:ascii="宋体" w:hAnsi="宋体" w:cs="宋体"/>
                <w:color w:val="auto"/>
                <w:sz w:val="22"/>
                <w:szCs w:val="22"/>
                <w:highlight w:val="none"/>
              </w:rPr>
              <w:t>6</w:t>
            </w:r>
            <w:r>
              <w:rPr>
                <w:rFonts w:hint="eastAsia" w:ascii="宋体" w:hAnsi="宋体" w:cs="宋体"/>
                <w:color w:val="auto"/>
                <w:sz w:val="22"/>
                <w:szCs w:val="22"/>
                <w:highlight w:val="none"/>
              </w:rPr>
              <w:t>分；创作作品较合理的得4分；创作作品基本符合的得3分；创作作品技法水平一般的得1分；未提供不得分。</w:t>
            </w:r>
          </w:p>
        </w:tc>
        <w:tc>
          <w:tcPr>
            <w:tcW w:w="617" w:type="dxa"/>
            <w:vAlign w:val="center"/>
          </w:tcPr>
          <w:p>
            <w:pPr>
              <w:spacing w:line="380" w:lineRule="exact"/>
              <w:jc w:val="center"/>
              <w:rPr>
                <w:rFonts w:ascii="宋体" w:hAnsi="宋体" w:cs="宋体"/>
                <w:color w:val="auto"/>
                <w:sz w:val="22"/>
                <w:szCs w:val="22"/>
                <w:highlight w:val="none"/>
              </w:rPr>
            </w:pPr>
            <w:r>
              <w:rPr>
                <w:rFonts w:ascii="宋体" w:hAnsi="宋体" w:cs="宋体"/>
                <w:color w:val="auto"/>
                <w:sz w:val="22"/>
                <w:szCs w:val="22"/>
                <w:highlight w:val="none"/>
              </w:rPr>
              <w:t>6</w:t>
            </w:r>
          </w:p>
        </w:tc>
        <w:tc>
          <w:tcPr>
            <w:tcW w:w="846" w:type="dxa"/>
            <w:vAlign w:val="center"/>
          </w:tcPr>
          <w:p>
            <w:pPr>
              <w:spacing w:after="0" w:line="360" w:lineRule="exact"/>
              <w:jc w:val="center"/>
              <w:rPr>
                <w:rFonts w:ascii="宋体" w:hAnsi="宋体" w:cs="宋体"/>
                <w:color w:val="auto"/>
                <w:spacing w:val="-6"/>
                <w:sz w:val="22"/>
                <w:szCs w:val="22"/>
                <w:highlight w:val="none"/>
                <w:lang w:eastAsia="zh-Hans"/>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restart"/>
            <w:vAlign w:val="center"/>
          </w:tcPr>
          <w:p>
            <w:pPr>
              <w:spacing w:after="0" w:line="360" w:lineRule="exact"/>
              <w:jc w:val="center"/>
              <w:rPr>
                <w:rFonts w:hint="eastAsia" w:ascii="宋体" w:hAnsi="宋体" w:eastAsia="宋体" w:cs="宋体"/>
                <w:bCs/>
                <w:color w:val="auto"/>
                <w:spacing w:val="-6"/>
                <w:sz w:val="22"/>
                <w:szCs w:val="22"/>
                <w:highlight w:val="none"/>
                <w:lang w:eastAsia="zh-CN"/>
              </w:rPr>
            </w:pPr>
            <w:r>
              <w:rPr>
                <w:rFonts w:hint="eastAsia" w:ascii="宋体" w:hAnsi="宋体" w:cs="宋体"/>
                <w:bCs/>
                <w:color w:val="auto"/>
                <w:spacing w:val="-6"/>
                <w:sz w:val="22"/>
                <w:szCs w:val="22"/>
                <w:highlight w:val="none"/>
                <w:lang w:val="en-US" w:eastAsia="zh-CN"/>
              </w:rPr>
              <w:t>4</w:t>
            </w:r>
          </w:p>
        </w:tc>
        <w:tc>
          <w:tcPr>
            <w:tcW w:w="1413" w:type="dxa"/>
            <w:vMerge w:val="restart"/>
            <w:vAlign w:val="center"/>
          </w:tcPr>
          <w:p>
            <w:pPr>
              <w:widowControl/>
              <w:snapToGrid w:val="0"/>
              <w:spacing w:after="0"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6050" w:type="dxa"/>
            <w:vAlign w:val="center"/>
          </w:tcPr>
          <w:p>
            <w:pPr>
              <w:spacing w:after="0" w:line="360" w:lineRule="exact"/>
              <w:jc w:val="left"/>
              <w:rPr>
                <w:rFonts w:ascii="宋体" w:hAnsi="宋体" w:cs="宋体"/>
                <w:color w:val="auto"/>
                <w:sz w:val="22"/>
                <w:szCs w:val="22"/>
                <w:highlight w:val="none"/>
                <w:lang w:eastAsia="zh-Hans"/>
              </w:rPr>
            </w:pPr>
            <w:r>
              <w:rPr>
                <w:rFonts w:hint="eastAsia" w:ascii="宋体" w:hAnsi="宋体" w:cs="宋体"/>
                <w:color w:val="auto"/>
                <w:sz w:val="22"/>
                <w:szCs w:val="22"/>
                <w:highlight w:val="none"/>
              </w:rPr>
              <w:t>施工场地布置方案的详细性和周密性。内容详细性、周密性和针对性强得2分；内容详细性、周密性和针对性较强得</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分；内容详细性、周密性和针对性一般的得1分；内容详细性、周密性和针对性不强得0.5分；不提供的不得分。</w:t>
            </w:r>
          </w:p>
        </w:tc>
        <w:tc>
          <w:tcPr>
            <w:tcW w:w="617"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2</w:t>
            </w:r>
          </w:p>
        </w:tc>
        <w:tc>
          <w:tcPr>
            <w:tcW w:w="846" w:type="dxa"/>
            <w:vAlign w:val="center"/>
          </w:tcPr>
          <w:p>
            <w:pPr>
              <w:spacing w:after="0" w:line="360" w:lineRule="exact"/>
              <w:jc w:val="center"/>
              <w:rPr>
                <w:rFonts w:ascii="宋体" w:hAnsi="宋体" w:cs="宋体"/>
                <w:color w:val="auto"/>
                <w:spacing w:val="-6"/>
                <w:sz w:val="22"/>
                <w:szCs w:val="22"/>
                <w:highlight w:val="none"/>
                <w:lang w:eastAsia="zh-Hans"/>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widowControl/>
              <w:snapToGrid w:val="0"/>
              <w:spacing w:after="0" w:line="360" w:lineRule="exact"/>
              <w:jc w:val="center"/>
              <w:rPr>
                <w:rFonts w:ascii="宋体" w:hAnsi="宋体" w:cs="宋体"/>
                <w:color w:val="auto"/>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质量管理重点环节实施方案和保障措施，原材料进场检测、原材料存储管理、中间环节检验、防水检测、联合检测及竣工验收是否完善，能有效保证技术质量，达到承诺的质量标准。严禁使用（利旧）其他工程的材料的相关承诺及措施。内容针对性强得2分；内容针对性较强得1.5分；内容针对性一般的得1分；内容针对性不强得0.5分；不提供的不得分。</w:t>
            </w:r>
          </w:p>
        </w:tc>
        <w:tc>
          <w:tcPr>
            <w:tcW w:w="617" w:type="dxa"/>
            <w:vAlign w:val="center"/>
          </w:tcPr>
          <w:p>
            <w:pPr>
              <w:spacing w:after="0" w:line="360" w:lineRule="exact"/>
              <w:jc w:val="center"/>
              <w:rPr>
                <w:rFonts w:ascii="宋体" w:hAnsi="宋体" w:cs="宋体"/>
                <w:color w:val="auto"/>
                <w:sz w:val="22"/>
                <w:szCs w:val="22"/>
                <w:highlight w:val="none"/>
              </w:rPr>
            </w:pPr>
            <w:r>
              <w:rPr>
                <w:rFonts w:hint="eastAsia" w:ascii="宋体" w:hAnsi="宋体" w:cs="宋体"/>
                <w:color w:val="auto"/>
                <w:spacing w:val="-6"/>
                <w:sz w:val="22"/>
                <w:szCs w:val="22"/>
                <w:highlight w:val="none"/>
              </w:rPr>
              <w:t>2</w:t>
            </w:r>
          </w:p>
        </w:tc>
        <w:tc>
          <w:tcPr>
            <w:tcW w:w="846" w:type="dxa"/>
            <w:vAlign w:val="center"/>
          </w:tcPr>
          <w:p>
            <w:pPr>
              <w:spacing w:after="0" w:line="360" w:lineRule="exact"/>
              <w:jc w:val="center"/>
              <w:rPr>
                <w:rFonts w:ascii="宋体" w:hAnsi="宋体" w:cs="宋体"/>
                <w:color w:val="auto"/>
                <w:spacing w:val="-6"/>
                <w:sz w:val="22"/>
                <w:szCs w:val="22"/>
                <w:highlight w:val="none"/>
                <w:lang w:eastAsia="zh-Hans"/>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Merge w:val="continue"/>
            <w:vAlign w:val="center"/>
          </w:tcPr>
          <w:p>
            <w:pPr>
              <w:spacing w:after="0" w:line="360" w:lineRule="exact"/>
              <w:jc w:val="center"/>
              <w:rPr>
                <w:rFonts w:ascii="宋体" w:hAnsi="宋体" w:cs="宋体"/>
                <w:bCs/>
                <w:color w:val="auto"/>
                <w:spacing w:val="-6"/>
                <w:sz w:val="22"/>
                <w:szCs w:val="22"/>
                <w:highlight w:val="none"/>
              </w:rPr>
            </w:pPr>
          </w:p>
        </w:tc>
        <w:tc>
          <w:tcPr>
            <w:tcW w:w="1413" w:type="dxa"/>
            <w:vMerge w:val="continue"/>
            <w:vAlign w:val="center"/>
          </w:tcPr>
          <w:p>
            <w:pPr>
              <w:widowControl/>
              <w:snapToGrid w:val="0"/>
              <w:spacing w:after="0" w:line="360" w:lineRule="exact"/>
              <w:jc w:val="center"/>
              <w:rPr>
                <w:rFonts w:ascii="宋体" w:hAnsi="宋体" w:cs="宋体"/>
                <w:color w:val="auto"/>
                <w:sz w:val="22"/>
                <w:szCs w:val="22"/>
                <w:highlight w:val="none"/>
              </w:rPr>
            </w:pP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现场安全管理体系、安全施工措施、文明施工措施制度以及项目重大风险源识别及预防措施，安全生产事故应急处理预案，环境保护、现场噪音控制及暑期施工抗台措施的针对性。内容针对性强得2分；内容针对性较强得1.5分；内容针对性一般的得1分；内容针对性不强得0.5分；不提供的不得分。</w:t>
            </w:r>
          </w:p>
        </w:tc>
        <w:tc>
          <w:tcPr>
            <w:tcW w:w="617" w:type="dxa"/>
            <w:vAlign w:val="center"/>
          </w:tcPr>
          <w:p>
            <w:pPr>
              <w:spacing w:after="0" w:line="360" w:lineRule="exact"/>
              <w:jc w:val="center"/>
              <w:rPr>
                <w:rFonts w:ascii="宋体" w:hAnsi="宋体" w:cs="宋体"/>
                <w:color w:val="auto"/>
                <w:sz w:val="22"/>
                <w:szCs w:val="22"/>
                <w:highlight w:val="none"/>
              </w:rPr>
            </w:pPr>
            <w:r>
              <w:rPr>
                <w:rFonts w:hint="eastAsia" w:ascii="宋体" w:hAnsi="宋体" w:cs="宋体"/>
                <w:color w:val="auto"/>
                <w:spacing w:val="-6"/>
                <w:sz w:val="22"/>
                <w:szCs w:val="22"/>
                <w:highlight w:val="none"/>
              </w:rPr>
              <w:t>2</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spacing w:after="0" w:line="360" w:lineRule="exact"/>
              <w:jc w:val="center"/>
              <w:rPr>
                <w:rFonts w:hint="eastAsia" w:ascii="宋体" w:hAnsi="宋体" w:eastAsia="宋体" w:cs="宋体"/>
                <w:bCs/>
                <w:color w:val="auto"/>
                <w:spacing w:val="-6"/>
                <w:sz w:val="22"/>
                <w:szCs w:val="22"/>
                <w:highlight w:val="none"/>
                <w:lang w:eastAsia="zh-CN"/>
              </w:rPr>
            </w:pPr>
            <w:r>
              <w:rPr>
                <w:rFonts w:hint="eastAsia" w:ascii="宋体" w:hAnsi="宋体" w:cs="宋体"/>
                <w:bCs/>
                <w:color w:val="auto"/>
                <w:spacing w:val="-6"/>
                <w:sz w:val="22"/>
                <w:szCs w:val="22"/>
                <w:highlight w:val="none"/>
                <w:lang w:val="en-US" w:eastAsia="zh-CN"/>
              </w:rPr>
              <w:t>5</w:t>
            </w:r>
          </w:p>
        </w:tc>
        <w:tc>
          <w:tcPr>
            <w:tcW w:w="1413"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项目进度安排</w:t>
            </w: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pacing w:val="-6"/>
                <w:sz w:val="22"/>
                <w:szCs w:val="22"/>
                <w:highlight w:val="none"/>
              </w:rPr>
              <w:t>针对项目进度（工期安排（设计及施工进度安排）、工序衔接、进度控制点设置打分）和保证措施打分。</w:t>
            </w:r>
            <w:r>
              <w:rPr>
                <w:rFonts w:hint="eastAsia" w:ascii="宋体" w:hAnsi="宋体" w:cs="宋体"/>
                <w:color w:val="auto"/>
                <w:sz w:val="22"/>
                <w:szCs w:val="22"/>
                <w:highlight w:val="none"/>
              </w:rPr>
              <w:t>内容针对性强得4分；内容针对性较强得3分；内容针对性一般的得2分；内容针对性不强得1分；不提供的不得分。</w:t>
            </w:r>
          </w:p>
        </w:tc>
        <w:tc>
          <w:tcPr>
            <w:tcW w:w="617" w:type="dxa"/>
            <w:vAlign w:val="center"/>
          </w:tcPr>
          <w:p>
            <w:pPr>
              <w:spacing w:after="0" w:line="360" w:lineRule="exact"/>
              <w:jc w:val="center"/>
              <w:rPr>
                <w:rFonts w:ascii="宋体" w:hAnsi="宋体" w:cs="宋体"/>
                <w:color w:val="auto"/>
                <w:sz w:val="22"/>
                <w:szCs w:val="22"/>
                <w:highlight w:val="none"/>
              </w:rPr>
            </w:pPr>
            <w:r>
              <w:rPr>
                <w:rFonts w:hint="eastAsia" w:ascii="宋体" w:hAnsi="宋体" w:cs="宋体"/>
                <w:color w:val="auto"/>
                <w:spacing w:val="-6"/>
                <w:sz w:val="22"/>
                <w:szCs w:val="22"/>
                <w:highlight w:val="none"/>
              </w:rPr>
              <w:t>4</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spacing w:after="0" w:line="360" w:lineRule="exact"/>
              <w:jc w:val="center"/>
              <w:rPr>
                <w:rFonts w:hint="eastAsia" w:ascii="宋体" w:hAnsi="宋体" w:eastAsia="宋体" w:cs="宋体"/>
                <w:bCs/>
                <w:color w:val="auto"/>
                <w:spacing w:val="-6"/>
                <w:sz w:val="22"/>
                <w:szCs w:val="22"/>
                <w:highlight w:val="none"/>
                <w:lang w:eastAsia="zh-CN"/>
              </w:rPr>
            </w:pPr>
            <w:r>
              <w:rPr>
                <w:rFonts w:hint="eastAsia" w:ascii="宋体" w:hAnsi="宋体" w:cs="宋体"/>
                <w:bCs/>
                <w:color w:val="auto"/>
                <w:spacing w:val="-6"/>
                <w:sz w:val="22"/>
                <w:szCs w:val="22"/>
                <w:highlight w:val="none"/>
                <w:lang w:val="en-US" w:eastAsia="zh-CN"/>
              </w:rPr>
              <w:t>6</w:t>
            </w:r>
          </w:p>
        </w:tc>
        <w:tc>
          <w:tcPr>
            <w:tcW w:w="1413"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z w:val="22"/>
                <w:szCs w:val="22"/>
                <w:highlight w:val="none"/>
              </w:rPr>
              <w:t>所用设备（材料）情况</w:t>
            </w: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根据供应商选用的产品设备（材料）品牌、型号、技术参数等实用性、先进性。内容实用性、先进性强得5分；内容实用性、先进性较强得4分；内容实用性、先进性一般的得3分；内容实用性、先进性不强得1分；不提供的不得分。</w:t>
            </w:r>
          </w:p>
        </w:tc>
        <w:tc>
          <w:tcPr>
            <w:tcW w:w="617" w:type="dxa"/>
            <w:vAlign w:val="center"/>
          </w:tcPr>
          <w:p>
            <w:pPr>
              <w:spacing w:after="0"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spacing w:after="0" w:line="360" w:lineRule="exact"/>
              <w:jc w:val="center"/>
              <w:rPr>
                <w:rFonts w:hint="eastAsia" w:ascii="宋体" w:hAnsi="宋体" w:eastAsia="宋体" w:cs="宋体"/>
                <w:bCs/>
                <w:color w:val="auto"/>
                <w:spacing w:val="-6"/>
                <w:sz w:val="22"/>
                <w:szCs w:val="22"/>
                <w:highlight w:val="none"/>
                <w:lang w:eastAsia="zh-CN"/>
              </w:rPr>
            </w:pPr>
            <w:r>
              <w:rPr>
                <w:rFonts w:hint="eastAsia" w:ascii="宋体" w:hAnsi="宋体" w:cs="宋体"/>
                <w:bCs/>
                <w:color w:val="auto"/>
                <w:spacing w:val="-6"/>
                <w:sz w:val="22"/>
                <w:szCs w:val="22"/>
                <w:highlight w:val="none"/>
                <w:lang w:val="en-US" w:eastAsia="zh-CN"/>
              </w:rPr>
              <w:t>7</w:t>
            </w:r>
          </w:p>
        </w:tc>
        <w:tc>
          <w:tcPr>
            <w:tcW w:w="1413"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售后服务</w:t>
            </w:r>
          </w:p>
        </w:tc>
        <w:tc>
          <w:tcPr>
            <w:tcW w:w="6050" w:type="dxa"/>
            <w:vAlign w:val="center"/>
          </w:tcPr>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维保和售后服务人员的安排计划及相应的承诺和保证措施打分</w:t>
            </w:r>
          </w:p>
          <w:p>
            <w:pPr>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内容针对性强得3分；内容针对性较强得2分；内容针对性一般的得1分；内容针对性不强得0.5分；不提供的不得分。</w:t>
            </w:r>
          </w:p>
        </w:tc>
        <w:tc>
          <w:tcPr>
            <w:tcW w:w="617"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3</w:t>
            </w:r>
          </w:p>
        </w:tc>
        <w:tc>
          <w:tcPr>
            <w:tcW w:w="846" w:type="dxa"/>
            <w:vAlign w:val="center"/>
          </w:tcPr>
          <w:p>
            <w:pPr>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主观分</w:t>
            </w:r>
          </w:p>
        </w:tc>
      </w:tr>
    </w:tbl>
    <w:p>
      <w:pPr>
        <w:pStyle w:val="16"/>
        <w:spacing w:after="0" w:line="360" w:lineRule="exact"/>
        <w:ind w:firstLine="0"/>
        <w:rPr>
          <w:rFonts w:hAnsi="宋体" w:cs="宋体"/>
          <w:b/>
          <w:bCs/>
          <w:color w:val="auto"/>
          <w:spacing w:val="-6"/>
          <w:sz w:val="22"/>
          <w:szCs w:val="22"/>
          <w:highlight w:val="none"/>
        </w:rPr>
      </w:pPr>
      <w:r>
        <w:rPr>
          <w:rFonts w:hint="eastAsia" w:hAnsi="宋体" w:cs="宋体"/>
          <w:b/>
          <w:bCs/>
          <w:color w:val="auto"/>
          <w:spacing w:val="-6"/>
          <w:sz w:val="22"/>
          <w:szCs w:val="22"/>
          <w:highlight w:val="none"/>
        </w:rPr>
        <w:t>（二）报价评分（20分）</w:t>
      </w:r>
    </w:p>
    <w:p>
      <w:pPr>
        <w:pStyle w:val="16"/>
        <w:spacing w:after="0" w:line="360" w:lineRule="exact"/>
        <w:ind w:firstLine="418" w:firstLineChars="200"/>
        <w:rPr>
          <w:rFonts w:hAnsi="宋体" w:cs="宋体"/>
          <w:b/>
          <w:bCs/>
          <w:color w:val="auto"/>
          <w:spacing w:val="-6"/>
          <w:sz w:val="22"/>
          <w:szCs w:val="22"/>
          <w:highlight w:val="none"/>
        </w:rPr>
      </w:pPr>
      <w:r>
        <w:rPr>
          <w:rFonts w:hint="eastAsia" w:hAnsi="宋体" w:cs="宋体"/>
          <w:b/>
          <w:bCs/>
          <w:color w:val="auto"/>
          <w:spacing w:val="-6"/>
          <w:sz w:val="22"/>
          <w:szCs w:val="22"/>
          <w:highlight w:val="none"/>
        </w:rPr>
        <w:t>(1)报价评分将在有效供应商范围内进行，最高得20分，最低得0分，小数点后保留2位小数。</w:t>
      </w:r>
    </w:p>
    <w:p>
      <w:pPr>
        <w:pStyle w:val="16"/>
        <w:spacing w:after="0" w:line="400" w:lineRule="exact"/>
        <w:ind w:firstLine="418" w:firstLineChars="200"/>
        <w:rPr>
          <w:rFonts w:hAnsi="宋体" w:cs="宋体"/>
          <w:b/>
          <w:bCs/>
          <w:color w:val="auto"/>
          <w:spacing w:val="-6"/>
          <w:sz w:val="22"/>
          <w:szCs w:val="22"/>
          <w:highlight w:val="none"/>
        </w:rPr>
      </w:pPr>
      <w:r>
        <w:rPr>
          <w:rFonts w:hint="eastAsia" w:hAnsi="宋体" w:cs="宋体"/>
          <w:b/>
          <w:bCs/>
          <w:color w:val="auto"/>
          <w:spacing w:val="-6"/>
          <w:sz w:val="22"/>
          <w:szCs w:val="22"/>
          <w:highlight w:val="none"/>
        </w:rPr>
        <w:t>价格分采用低价优先法计算，即满足磋商文件要求且最后评审价格最低为评标基准价，其他供应商的价格分按照下列公式计算：</w:t>
      </w:r>
    </w:p>
    <w:p>
      <w:pPr>
        <w:pStyle w:val="16"/>
        <w:spacing w:after="0" w:line="400" w:lineRule="exact"/>
        <w:ind w:firstLine="418" w:firstLineChars="200"/>
        <w:rPr>
          <w:rFonts w:hAnsi="宋体" w:cs="宋体"/>
          <w:b/>
          <w:bCs/>
          <w:color w:val="auto"/>
          <w:spacing w:val="-6"/>
          <w:sz w:val="22"/>
          <w:szCs w:val="22"/>
          <w:highlight w:val="none"/>
        </w:rPr>
      </w:pPr>
      <w:r>
        <w:rPr>
          <w:rFonts w:hint="eastAsia" w:hAnsi="宋体" w:cs="宋体"/>
          <w:b/>
          <w:bCs/>
          <w:color w:val="auto"/>
          <w:spacing w:val="-6"/>
          <w:sz w:val="22"/>
          <w:szCs w:val="22"/>
          <w:highlight w:val="none"/>
        </w:rPr>
        <w:t>价格评分=（评标基准价/最后报价）×20%×100</w:t>
      </w:r>
    </w:p>
    <w:p>
      <w:pPr>
        <w:pStyle w:val="16"/>
        <w:spacing w:after="0" w:line="400" w:lineRule="exact"/>
        <w:ind w:firstLine="440" w:firstLineChars="200"/>
        <w:rPr>
          <w:rFonts w:hAnsi="宋体" w:cs="宋体"/>
          <w:snapToGrid w:val="0"/>
          <w:color w:val="auto"/>
          <w:sz w:val="22"/>
          <w:szCs w:val="22"/>
          <w:highlight w:val="none"/>
        </w:rPr>
      </w:pPr>
      <w:r>
        <w:rPr>
          <w:rFonts w:hint="eastAsia" w:hAnsi="宋体" w:cs="宋体"/>
          <w:snapToGrid w:val="0"/>
          <w:color w:val="auto"/>
          <w:sz w:val="22"/>
          <w:szCs w:val="22"/>
          <w:highlight w:val="none"/>
        </w:rPr>
        <w:t>投标如缺少须提供的一种功能或配置或服务，评标价将在其投标价的基础上加上其他供应商相应分项价格的最高价。如若成交，该缺漏项费用将由成交供应商自行承担。</w:t>
      </w:r>
    </w:p>
    <w:p>
      <w:p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(2)其他</w:t>
      </w:r>
    </w:p>
    <w:p>
      <w:p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评分时保留小数点后2位小数，计算评分值时保留小数点后2位小数，由磋商小组当场统一计算。</w:t>
      </w:r>
    </w:p>
    <w:p>
      <w:pPr>
        <w:adjustRightInd w:val="0"/>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磋商响应供应商的最终总得分为技术、商务、报价三部分得分的总和。</w:t>
      </w:r>
    </w:p>
    <w:p>
      <w:pPr>
        <w:snapToGrid w:val="0"/>
        <w:spacing w:after="0" w:line="400" w:lineRule="exact"/>
        <w:ind w:firstLine="442" w:firstLineChars="200"/>
        <w:rPr>
          <w:rFonts w:ascii="宋体" w:hAnsi="宋体" w:cs="宋体"/>
          <w:b/>
          <w:bCs/>
          <w:color w:val="auto"/>
          <w:spacing w:val="-6"/>
          <w:sz w:val="22"/>
          <w:szCs w:val="22"/>
          <w:highlight w:val="none"/>
        </w:rPr>
      </w:pPr>
      <w:r>
        <w:rPr>
          <w:rFonts w:hint="eastAsia" w:ascii="宋体" w:hAnsi="宋体" w:cs="宋体"/>
          <w:b/>
          <w:color w:val="auto"/>
          <w:sz w:val="22"/>
          <w:szCs w:val="22"/>
          <w:highlight w:val="none"/>
        </w:rPr>
        <w:t>报价是成交的一个重要因素，但最低报价不是成交的唯一依据。</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21.3 磋商文件没有规定的评审标准不作为评审依据。</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21.4磋商小组成员独立对每个有效响应的文件进行评价、打分，所有磋商小组成员的打分平均值为每个供应商的得分。</w:t>
      </w:r>
    </w:p>
    <w:p>
      <w:pPr>
        <w:snapToGrid w:val="0"/>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22．推荐成交候选供应商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小组应当根据综合评分情况，按照评审得分由高到低顺序推荐不少于3名成交候选供应商，并编写评审报告。评审得分相同的，按照最后报价由低到高的顺序推荐。评审得分且最后报价相同的，按照技术指标优劣顺序推荐。</w:t>
      </w:r>
    </w:p>
    <w:p>
      <w:pPr>
        <w:spacing w:after="0" w:line="400" w:lineRule="exact"/>
        <w:rPr>
          <w:rFonts w:ascii="宋体" w:hAnsi="宋体" w:cs="宋体"/>
          <w:b/>
          <w:color w:val="auto"/>
          <w:sz w:val="28"/>
          <w:szCs w:val="28"/>
          <w:highlight w:val="none"/>
        </w:rPr>
      </w:pPr>
      <w:bookmarkStart w:id="26" w:name="_Toc433537970"/>
      <w:bookmarkStart w:id="27" w:name="_Toc479839536"/>
      <w:r>
        <w:rPr>
          <w:rFonts w:hint="eastAsia" w:ascii="宋体" w:hAnsi="宋体" w:cs="宋体"/>
          <w:b/>
          <w:color w:val="auto"/>
          <w:sz w:val="28"/>
          <w:szCs w:val="28"/>
          <w:highlight w:val="none"/>
        </w:rPr>
        <w:t>八、确定成交供应商</w:t>
      </w:r>
      <w:bookmarkEnd w:id="26"/>
      <w:bookmarkEnd w:id="27"/>
    </w:p>
    <w:p>
      <w:pPr>
        <w:spacing w:after="0"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23．确定成交供应商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23.1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23.2采购人或者采购代理机构应当在成交供应商确定后2个工作日内，在浙江政府采购网上公告成交结果，同时向成交供应商发出成交通知书。</w:t>
      </w:r>
    </w:p>
    <w:p>
      <w:pPr>
        <w:spacing w:after="0" w:line="400" w:lineRule="exact"/>
        <w:rPr>
          <w:rFonts w:ascii="宋体" w:hAnsi="宋体" w:cs="宋体"/>
          <w:b/>
          <w:color w:val="auto"/>
          <w:sz w:val="28"/>
          <w:szCs w:val="28"/>
          <w:highlight w:val="none"/>
        </w:rPr>
      </w:pPr>
      <w:bookmarkStart w:id="28" w:name="_Toc207550888"/>
      <w:bookmarkStart w:id="29" w:name="_Toc433537971"/>
      <w:bookmarkStart w:id="30" w:name="_Toc479839537"/>
      <w:r>
        <w:rPr>
          <w:rFonts w:hint="eastAsia" w:ascii="宋体" w:hAnsi="宋体" w:cs="宋体"/>
          <w:b/>
          <w:color w:val="auto"/>
          <w:sz w:val="28"/>
          <w:szCs w:val="28"/>
          <w:highlight w:val="none"/>
        </w:rPr>
        <w:t>九、</w:t>
      </w:r>
      <w:bookmarkEnd w:id="28"/>
      <w:r>
        <w:rPr>
          <w:rFonts w:hint="eastAsia" w:ascii="宋体" w:hAnsi="宋体" w:cs="宋体"/>
          <w:b/>
          <w:color w:val="auto"/>
          <w:sz w:val="28"/>
          <w:szCs w:val="28"/>
          <w:highlight w:val="none"/>
        </w:rPr>
        <w:t>签订合同</w:t>
      </w:r>
      <w:bookmarkEnd w:id="29"/>
      <w:bookmarkEnd w:id="30"/>
    </w:p>
    <w:p>
      <w:pPr>
        <w:spacing w:after="0" w:line="40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24</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rPr>
        <w:t>签订合同</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24.1采购人与成交供应商应当在成交通知书发出之日起30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adjustRightInd w:val="0"/>
        <w:spacing w:after="0" w:line="400" w:lineRule="exact"/>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24.2</w:t>
      </w:r>
      <w:r>
        <w:rPr>
          <w:rFonts w:hint="eastAsia" w:ascii="宋体" w:hAnsi="宋体" w:cs="宋体"/>
          <w:b/>
          <w:bCs/>
          <w:color w:val="auto"/>
          <w:sz w:val="22"/>
          <w:szCs w:val="22"/>
          <w:highlight w:val="none"/>
        </w:rPr>
        <w:t>成交供应商放弃成交或拒绝与采购人签订合同的，采购人可以按照评审报告推荐的成交候选人名单排序，确定下一候选人为成交供应商并签订合同（依此类推），也可以重新开展采购活动。拒绝签订政府采</w:t>
      </w:r>
      <w:r>
        <w:rPr>
          <w:rFonts w:hint="eastAsia" w:ascii="宋体" w:hAnsi="宋体" w:cs="宋体"/>
          <w:color w:val="auto"/>
          <w:sz w:val="22"/>
          <w:szCs w:val="22"/>
          <w:highlight w:val="none"/>
        </w:rPr>
        <w:t>购合同的成交供应商不得参加对该项目重新开展的采购活动。</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24.3拒签合同的责任</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相关部门吊销营业执照。</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成交供应商接到成交通知书后，在规定时间内借故否认已经承诺的条件而拒签合同者，以磋商违约处理。成交供应商承担由此造成的直接经济损失，采购人保留向其索赔的权力。</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24.4签订合同后，成交供应商不得将本项目进行转包。未经采购人同意，成交供应商不得采用分包的形式履行合同。否则，采购人有权终止合同。转包或分包造成采购人损失的，成交供应商还应承担相应的赔偿责任。</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24.5供应商在政府采购活动中违反政府采购相关规定给采购组织机构造成损失的，供应商承担赔偿责任；中标、成交供应商放弃中标、成交资格导致重新采购的，应当承担支付采购代理服务费和专家评审费等费用在内的赔偿责任。</w:t>
      </w:r>
    </w:p>
    <w:p>
      <w:pPr>
        <w:adjustRightInd w:val="0"/>
        <w:spacing w:after="0" w:line="400" w:lineRule="exact"/>
        <w:ind w:firstLine="440" w:firstLineChars="200"/>
        <w:rPr>
          <w:rFonts w:ascii="宋体" w:hAnsi="宋体" w:cs="宋体"/>
          <w:color w:val="auto"/>
          <w:sz w:val="22"/>
          <w:szCs w:val="22"/>
          <w:highlight w:val="none"/>
        </w:rPr>
      </w:pPr>
      <w:bookmarkStart w:id="31" w:name="_Toc433537972"/>
      <w:bookmarkStart w:id="32" w:name="_Toc207550890"/>
      <w:bookmarkStart w:id="33" w:name="_Toc479839538"/>
      <w:r>
        <w:rPr>
          <w:rFonts w:hint="eastAsia" w:ascii="宋体" w:hAnsi="宋体" w:cs="宋体"/>
          <w:color w:val="auto"/>
          <w:sz w:val="22"/>
          <w:szCs w:val="22"/>
          <w:highlight w:val="none"/>
        </w:rPr>
        <w:t>24.6采购人不得向供应商索要或者接受其给予的赠品、回扣或者与采购无关的其他商品、服务。采购过程（采购文件）中应明确以下要求：</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（1）不得明示或暗示供应商提供赠品、回扣、采购预算中本身不包含的其他商品或服务；</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（2）供应商承诺提供赠品、回扣、采购预算中本身不包含的其他商品或服务，视作无效承诺；不得因无效承诺对供应商实行差别待遇或者歧视待遇；</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（3）合同总价不为零，投标报价明细表中部分产品、服务单价为零的，视作已包含在总价中（采购文件中明确）；</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（4）不得将供应商提供赠品、回扣、采购预算中本身不包含的其他商品或服务作为中标（成交）条件或者合同签订条件；</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（5）合同签订后，不得接受供应商无效承诺的赠品、回扣、采购预算中本身不包含的其他商品或服务；</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（6）合同签订后，不得向供应商索要赠品、回扣、采购预算中本身不包含的其他商品或服务；</w:t>
      </w:r>
    </w:p>
    <w:p>
      <w:pPr>
        <w:adjustRightIn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（7）履约验收环节，不得因供应商提供赠品、回扣、采购预算中本身不包含的其他商品或服务减免供应商违约责任。</w:t>
      </w:r>
    </w:p>
    <w:p>
      <w:pPr>
        <w:spacing w:after="0" w:line="400" w:lineRule="exact"/>
        <w:rPr>
          <w:rFonts w:ascii="宋体" w:hAnsi="宋体" w:cs="宋体"/>
          <w:b/>
          <w:color w:val="auto"/>
          <w:sz w:val="28"/>
          <w:szCs w:val="28"/>
          <w:highlight w:val="none"/>
        </w:rPr>
      </w:pPr>
      <w:r>
        <w:rPr>
          <w:rFonts w:hint="eastAsia" w:ascii="宋体" w:hAnsi="宋体" w:cs="宋体"/>
          <w:b/>
          <w:color w:val="auto"/>
          <w:sz w:val="28"/>
          <w:szCs w:val="28"/>
          <w:highlight w:val="none"/>
        </w:rPr>
        <w:t>十、</w:t>
      </w:r>
      <w:bookmarkEnd w:id="31"/>
      <w:bookmarkEnd w:id="32"/>
      <w:bookmarkEnd w:id="33"/>
      <w:bookmarkStart w:id="34" w:name="_Toc479839539"/>
      <w:bookmarkStart w:id="35" w:name="_Toc433537974"/>
      <w:r>
        <w:rPr>
          <w:rFonts w:hint="eastAsia" w:ascii="宋体" w:hAnsi="宋体" w:cs="宋体"/>
          <w:b/>
          <w:color w:val="auto"/>
          <w:sz w:val="28"/>
          <w:szCs w:val="28"/>
          <w:highlight w:val="none"/>
        </w:rPr>
        <w:t>出现下列情形之一的，采购人或者采购代理机构应当终止竞争性磋商采购活动，发布项目终止公告并说明原因，重新开展采购活动：</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（一）因情况变化，不再符合规定的竞争性磋商采购方式适用情形的；</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（二）出现影响采购公正的违法、违规行为的；</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（三）在采购过程中符合要求的供应商或者报价未超过采购预算的供应商不足3家的。</w:t>
      </w:r>
    </w:p>
    <w:p>
      <w:pPr>
        <w:spacing w:after="0" w:line="400" w:lineRule="exact"/>
        <w:rPr>
          <w:rFonts w:ascii="宋体" w:hAnsi="宋体" w:cs="宋体"/>
          <w:b/>
          <w:color w:val="auto"/>
          <w:sz w:val="28"/>
          <w:szCs w:val="28"/>
          <w:highlight w:val="none"/>
          <w:lang w:val="zh-CN"/>
        </w:rPr>
      </w:pPr>
      <w:r>
        <w:rPr>
          <w:rFonts w:hint="eastAsia" w:ascii="宋体" w:hAnsi="宋体" w:cs="宋体"/>
          <w:b/>
          <w:color w:val="auto"/>
          <w:sz w:val="28"/>
          <w:szCs w:val="28"/>
          <w:highlight w:val="none"/>
        </w:rPr>
        <w:t>十一、</w:t>
      </w:r>
      <w:r>
        <w:rPr>
          <w:rFonts w:hint="eastAsia" w:ascii="宋体" w:hAnsi="宋体" w:cs="宋体"/>
          <w:b/>
          <w:color w:val="auto"/>
          <w:sz w:val="28"/>
          <w:szCs w:val="28"/>
          <w:highlight w:val="none"/>
          <w:lang w:val="zh-CN"/>
        </w:rPr>
        <w:t>采购过程中出现以下情形，导致电子交易平台无法正常运行，或者无法保证电子交易的公平、公正和安全时，采购组织机构可中止电子交易活动：</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（一）电子交易平台发生故障而无法登录访问的； </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（二）电子交易平台应用或数据库出现错误，不能进行正常操作的；</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（三）电子交易平台发现严重安全漏洞，有潜在泄密危险的；</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（四）病毒发作导致不能进行正常操作的； </w:t>
      </w:r>
    </w:p>
    <w:p>
      <w:pPr>
        <w:spacing w:after="0" w:line="40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（五）其他无法保证电子交易的公平、公正和安全的情况。</w:t>
      </w:r>
    </w:p>
    <w:p>
      <w:pPr>
        <w:spacing w:after="0" w:line="400" w:lineRule="exact"/>
        <w:ind w:firstLine="440" w:firstLineChars="200"/>
        <w:rPr>
          <w:rFonts w:ascii="宋体" w:hAnsi="宋体" w:cs="宋体"/>
          <w:color w:val="auto"/>
          <w:sz w:val="32"/>
          <w:highlight w:val="none"/>
        </w:rPr>
      </w:pPr>
      <w:r>
        <w:rPr>
          <w:rFonts w:hint="eastAsia" w:ascii="宋体" w:hAnsi="宋体" w:cs="宋体"/>
          <w:color w:val="auto"/>
          <w:sz w:val="22"/>
          <w:szCs w:val="22"/>
          <w:highlight w:val="none"/>
          <w:shd w:val="clear" w:color="auto" w:fill="FFFFFF"/>
        </w:rPr>
        <w:t>出现前款规定情形，不影响采购公平、公正性的，采购组织机构可以待上述情形消除后继续组织电子交易活动，也可以决定某些环节以纸质形式进行；影响或可能影响采购公平、公正性的，应当重新采购。</w:t>
      </w:r>
    </w:p>
    <w:p>
      <w:pPr>
        <w:rPr>
          <w:rFonts w:ascii="宋体" w:hAnsi="宋体" w:cs="宋体"/>
          <w:b/>
          <w:bCs/>
          <w:color w:val="auto"/>
          <w:sz w:val="32"/>
          <w:highlight w:val="none"/>
        </w:rPr>
      </w:pPr>
      <w:r>
        <w:rPr>
          <w:rFonts w:hint="eastAsia" w:ascii="宋体" w:hAnsi="宋体" w:cs="宋体"/>
          <w:b/>
          <w:bCs/>
          <w:color w:val="auto"/>
          <w:sz w:val="32"/>
          <w:highlight w:val="none"/>
        </w:rPr>
        <w:br w:type="page"/>
      </w:r>
      <w:bookmarkEnd w:id="34"/>
      <w:bookmarkEnd w:id="35"/>
    </w:p>
    <w:p>
      <w:pPr>
        <w:spacing w:after="0" w:line="360" w:lineRule="exact"/>
        <w:ind w:firstLine="643" w:firstLineChars="200"/>
        <w:jc w:val="center"/>
        <w:rPr>
          <w:rFonts w:ascii="宋体" w:hAnsi="宋体" w:cs="宋体"/>
          <w:b/>
          <w:bCs/>
          <w:color w:val="auto"/>
          <w:sz w:val="22"/>
          <w:szCs w:val="22"/>
          <w:highlight w:val="none"/>
        </w:rPr>
      </w:pPr>
      <w:bookmarkStart w:id="36" w:name="_Toc479839540"/>
      <w:r>
        <w:rPr>
          <w:rFonts w:hint="eastAsia" w:ascii="宋体" w:hAnsi="宋体" w:cs="宋体"/>
          <w:b/>
          <w:bCs/>
          <w:color w:val="auto"/>
          <w:sz w:val="32"/>
          <w:highlight w:val="none"/>
        </w:rPr>
        <w:t>第三部分 采购需求</w:t>
      </w:r>
    </w:p>
    <w:p>
      <w:pPr>
        <w:snapToGrid w:val="0"/>
        <w:spacing w:after="0" w:line="360" w:lineRule="exac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721"/>
        <w:gridCol w:w="86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after="0" w:line="360" w:lineRule="exact"/>
              <w:jc w:val="center"/>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序号</w:t>
            </w:r>
          </w:p>
        </w:tc>
        <w:tc>
          <w:tcPr>
            <w:tcW w:w="5721" w:type="dxa"/>
            <w:vAlign w:val="center"/>
          </w:tcPr>
          <w:p>
            <w:pPr>
              <w:spacing w:after="0" w:line="360" w:lineRule="exact"/>
              <w:jc w:val="center"/>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项目名称</w:t>
            </w:r>
          </w:p>
        </w:tc>
        <w:tc>
          <w:tcPr>
            <w:tcW w:w="866" w:type="dxa"/>
            <w:vAlign w:val="center"/>
          </w:tcPr>
          <w:p>
            <w:pPr>
              <w:spacing w:after="0" w:line="360" w:lineRule="exact"/>
              <w:jc w:val="center"/>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数量</w:t>
            </w:r>
          </w:p>
        </w:tc>
        <w:tc>
          <w:tcPr>
            <w:tcW w:w="1706" w:type="dxa"/>
            <w:vAlign w:val="center"/>
          </w:tcPr>
          <w:p>
            <w:pPr>
              <w:spacing w:after="0" w:line="360" w:lineRule="exact"/>
              <w:jc w:val="center"/>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721" w:type="dxa"/>
            <w:vAlign w:val="center"/>
          </w:tcPr>
          <w:p>
            <w:pPr>
              <w:spacing w:after="0" w:line="360" w:lineRule="exact"/>
              <w:jc w:val="center"/>
              <w:rPr>
                <w:rFonts w:ascii="宋体" w:hAnsi="宋体" w:cs="宋体"/>
                <w:color w:val="auto"/>
                <w:kern w:val="0"/>
                <w:sz w:val="22"/>
                <w:szCs w:val="22"/>
                <w:highlight w:val="none"/>
              </w:rPr>
            </w:pPr>
            <w:r>
              <w:rPr>
                <w:rFonts w:hint="eastAsia" w:ascii="宋体" w:hAnsi="宋体" w:cs="宋体"/>
                <w:bCs/>
                <w:color w:val="auto"/>
                <w:sz w:val="22"/>
                <w:szCs w:val="22"/>
                <w:highlight w:val="none"/>
              </w:rPr>
              <w:t>温州市“松台别业”展陈项目</w:t>
            </w:r>
          </w:p>
        </w:tc>
        <w:tc>
          <w:tcPr>
            <w:tcW w:w="866" w:type="dxa"/>
            <w:vAlign w:val="center"/>
          </w:tcPr>
          <w:p>
            <w:pPr>
              <w:spacing w:after="0" w:line="36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1项</w:t>
            </w:r>
          </w:p>
        </w:tc>
        <w:tc>
          <w:tcPr>
            <w:tcW w:w="1706" w:type="dxa"/>
            <w:vAlign w:val="center"/>
          </w:tcPr>
          <w:p>
            <w:pPr>
              <w:spacing w:after="0" w:line="360" w:lineRule="exact"/>
              <w:jc w:val="center"/>
              <w:rPr>
                <w:rFonts w:ascii="宋体" w:hAnsi="宋体" w:cs="宋体"/>
                <w:color w:val="auto"/>
                <w:sz w:val="22"/>
                <w:szCs w:val="22"/>
                <w:highlight w:val="none"/>
              </w:rPr>
            </w:pPr>
          </w:p>
        </w:tc>
      </w:tr>
    </w:tbl>
    <w:p>
      <w:pPr>
        <w:spacing w:after="0" w:line="360" w:lineRule="exact"/>
        <w:rPr>
          <w:rFonts w:ascii="宋体" w:hAnsi="宋体" w:cs="宋体"/>
          <w:b/>
          <w:bCs/>
          <w:color w:val="auto"/>
          <w:sz w:val="22"/>
          <w:szCs w:val="22"/>
          <w:highlight w:val="none"/>
        </w:rPr>
      </w:pPr>
      <w:r>
        <w:rPr>
          <w:rFonts w:hint="eastAsia" w:ascii="宋体" w:hAnsi="宋体" w:cs="宋体"/>
          <w:b/>
          <w:bCs/>
          <w:color w:val="auto"/>
          <w:spacing w:val="-6"/>
          <w:sz w:val="22"/>
          <w:szCs w:val="22"/>
          <w:highlight w:val="none"/>
        </w:rPr>
        <w:t>二、</w:t>
      </w:r>
      <w:r>
        <w:rPr>
          <w:rFonts w:hint="eastAsia" w:ascii="宋体" w:hAnsi="宋体" w:cs="宋体"/>
          <w:b/>
          <w:bCs/>
          <w:color w:val="auto"/>
          <w:sz w:val="22"/>
          <w:szCs w:val="22"/>
          <w:highlight w:val="none"/>
        </w:rPr>
        <w:t>为落实政府采购政策需满足的要求：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74"/>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after="0" w:line="36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974" w:type="dxa"/>
            <w:vAlign w:val="center"/>
          </w:tcPr>
          <w:p>
            <w:pPr>
              <w:widowControl/>
              <w:spacing w:after="0" w:line="36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政策名称</w:t>
            </w:r>
          </w:p>
        </w:tc>
        <w:tc>
          <w:tcPr>
            <w:tcW w:w="5575" w:type="dxa"/>
            <w:vAlign w:val="center"/>
          </w:tcPr>
          <w:p>
            <w:pPr>
              <w:widowControl/>
              <w:spacing w:after="0" w:line="360" w:lineRule="exact"/>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974"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政府采购促进中小企业发展</w:t>
            </w:r>
          </w:p>
        </w:tc>
        <w:tc>
          <w:tcPr>
            <w:tcW w:w="5575" w:type="dxa"/>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提供材料详见磋商文件第五部分附件（响应文件格式）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974"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政府采购支持监狱企业发展</w:t>
            </w:r>
          </w:p>
        </w:tc>
        <w:tc>
          <w:tcPr>
            <w:tcW w:w="5575" w:type="dxa"/>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提供材料详见磋商文件第五部分附件（响应文件格式）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974"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政府采购促进残疾人就业</w:t>
            </w:r>
          </w:p>
        </w:tc>
        <w:tc>
          <w:tcPr>
            <w:tcW w:w="5575" w:type="dxa"/>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提供材料详见磋商文件第五部分附件（响应文件格式）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974"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政府采购节能环保产品</w:t>
            </w:r>
          </w:p>
        </w:tc>
        <w:tc>
          <w:tcPr>
            <w:tcW w:w="5575" w:type="dxa"/>
            <w:vAlign w:val="center"/>
          </w:tcPr>
          <w:p>
            <w:pPr>
              <w:spacing w:after="0" w:line="360" w:lineRule="exact"/>
              <w:rPr>
                <w:rFonts w:ascii="宋体" w:hAnsi="宋体" w:cs="宋体"/>
                <w:color w:val="auto"/>
                <w:kern w:val="0"/>
                <w:sz w:val="22"/>
                <w:szCs w:val="22"/>
                <w:highlight w:val="none"/>
              </w:rPr>
            </w:pPr>
            <w:r>
              <w:rPr>
                <w:rFonts w:hint="eastAsia" w:ascii="宋体" w:hAnsi="宋体" w:cs="宋体"/>
                <w:color w:val="auto"/>
                <w:sz w:val="22"/>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974" w:type="dxa"/>
            <w:vAlign w:val="center"/>
          </w:tcPr>
          <w:p>
            <w:pPr>
              <w:widowControl/>
              <w:spacing w:after="0" w:line="36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政府采购进口产品</w:t>
            </w:r>
          </w:p>
        </w:tc>
        <w:tc>
          <w:tcPr>
            <w:tcW w:w="5575" w:type="dxa"/>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不允许</w:t>
            </w:r>
          </w:p>
        </w:tc>
      </w:tr>
    </w:tbl>
    <w:p>
      <w:pPr>
        <w:snapToGrid w:val="0"/>
        <w:spacing w:after="0" w:line="360" w:lineRule="exact"/>
        <w:outlineLvl w:val="0"/>
        <w:rPr>
          <w:rFonts w:ascii="宋体" w:hAnsi="宋体" w:cs="宋体"/>
          <w:b/>
          <w:color w:val="auto"/>
          <w:spacing w:val="-6"/>
          <w:sz w:val="22"/>
          <w:szCs w:val="22"/>
          <w:highlight w:val="none"/>
        </w:rPr>
      </w:pPr>
      <w:r>
        <w:rPr>
          <w:rFonts w:hint="eastAsia" w:ascii="宋体" w:hAnsi="宋体" w:cs="宋体"/>
          <w:b/>
          <w:bCs/>
          <w:color w:val="auto"/>
          <w:kern w:val="0"/>
          <w:sz w:val="22"/>
          <w:szCs w:val="22"/>
          <w:highlight w:val="none"/>
        </w:rPr>
        <w:t>三、</w:t>
      </w:r>
      <w:r>
        <w:rPr>
          <w:rFonts w:hint="eastAsia" w:ascii="宋体" w:hAnsi="宋体" w:cs="宋体"/>
          <w:b/>
          <w:color w:val="auto"/>
          <w:spacing w:val="-6"/>
          <w:sz w:val="22"/>
          <w:szCs w:val="22"/>
          <w:highlight w:val="none"/>
        </w:rPr>
        <w:t>商务要求（技术要求里另有注明的以技术要求为准）</w:t>
      </w:r>
    </w:p>
    <w:tbl>
      <w:tblPr>
        <w:tblStyle w:val="33"/>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7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837"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▲一、履约保证金支付</w:t>
            </w:r>
          </w:p>
          <w:p>
            <w:pPr>
              <w:widowControl/>
              <w:spacing w:after="0" w:line="360" w:lineRule="exact"/>
              <w:jc w:val="lef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合同签订后，成交供应商5个工作日内支付合同金额的1%作为履约保证金（以转账、支票、汇票、本票或者金融机构、担保机构出具的保函等非现金形式提交。），履约保证金自项目验收合格之日起无质量问题，采购人按程序在7个工作日内无息退还。</w:t>
            </w:r>
          </w:p>
          <w:p>
            <w:pPr>
              <w:widowControl/>
              <w:spacing w:after="0" w:line="360" w:lineRule="exact"/>
              <w:jc w:val="lef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▲二、合同金额结算及支付方式：</w:t>
            </w:r>
          </w:p>
          <w:p>
            <w:pPr>
              <w:spacing w:after="0" w:line="3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合同生效、采购人收到成交供应商出具的合同金额40%保函以及具备实施条件后7个工作日内，向成交供应商支付合同总额40%的预付款，成交供应商</w:t>
            </w:r>
            <w:r>
              <w:rPr>
                <w:rFonts w:hint="eastAsia" w:ascii="宋体" w:hAnsi="宋体" w:cs="宋体"/>
                <w:color w:val="auto"/>
                <w:kern w:val="0"/>
                <w:sz w:val="22"/>
                <w:szCs w:val="22"/>
                <w:highlight w:val="none"/>
                <w:u w:val="single"/>
                <w:lang w:val="zh-CN"/>
              </w:rPr>
              <w:t>完成全部服务，</w:t>
            </w: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u w:val="single"/>
                <w:lang w:val="zh-CN"/>
              </w:rPr>
              <w:t>验收合格</w:t>
            </w:r>
            <w:r>
              <w:rPr>
                <w:rFonts w:hint="eastAsia" w:ascii="宋体" w:hAnsi="宋体" w:cs="宋体"/>
                <w:color w:val="auto"/>
                <w:kern w:val="0"/>
                <w:sz w:val="22"/>
                <w:szCs w:val="22"/>
                <w:highlight w:val="none"/>
                <w:u w:val="single"/>
              </w:rPr>
              <w:t>办理第三方咨询公司审价结算后，</w:t>
            </w:r>
            <w:r>
              <w:rPr>
                <w:rFonts w:hint="eastAsia" w:ascii="宋体" w:hAnsi="宋体" w:cs="宋体"/>
                <w:color w:val="auto"/>
                <w:kern w:val="0"/>
                <w:sz w:val="22"/>
                <w:szCs w:val="22"/>
                <w:highlight w:val="none"/>
                <w:u w:val="single"/>
                <w:lang w:val="zh-CN"/>
              </w:rPr>
              <w:t>收到</w:t>
            </w:r>
            <w:r>
              <w:rPr>
                <w:rFonts w:hint="eastAsia" w:ascii="宋体" w:hAnsi="宋体" w:cs="宋体"/>
                <w:color w:val="auto"/>
                <w:kern w:val="0"/>
                <w:sz w:val="22"/>
                <w:szCs w:val="22"/>
                <w:highlight w:val="none"/>
                <w:u w:val="single"/>
              </w:rPr>
              <w:t>成交供应商</w:t>
            </w:r>
            <w:r>
              <w:rPr>
                <w:rFonts w:hint="eastAsia" w:ascii="宋体" w:hAnsi="宋体" w:cs="宋体"/>
                <w:color w:val="auto"/>
                <w:kern w:val="0"/>
                <w:sz w:val="22"/>
                <w:szCs w:val="22"/>
                <w:highlight w:val="none"/>
                <w:u w:val="single"/>
                <w:lang w:val="zh-CN"/>
              </w:rPr>
              <w:t>出具</w:t>
            </w:r>
            <w:r>
              <w:rPr>
                <w:rFonts w:hint="eastAsia" w:ascii="宋体" w:hAnsi="宋体" w:cs="宋体"/>
                <w:color w:val="auto"/>
                <w:kern w:val="0"/>
                <w:sz w:val="22"/>
                <w:szCs w:val="22"/>
                <w:highlight w:val="none"/>
                <w:u w:val="single"/>
              </w:rPr>
              <w:t>结算价</w:t>
            </w:r>
            <w:r>
              <w:rPr>
                <w:rFonts w:hint="eastAsia" w:ascii="宋体" w:hAnsi="宋体" w:cs="宋体"/>
                <w:color w:val="auto"/>
                <w:kern w:val="0"/>
                <w:sz w:val="22"/>
                <w:szCs w:val="22"/>
                <w:highlight w:val="none"/>
                <w:u w:val="single"/>
                <w:lang w:val="zh-CN"/>
              </w:rPr>
              <w:t>全额增值税</w:t>
            </w:r>
            <w:r>
              <w:rPr>
                <w:rFonts w:hint="eastAsia" w:ascii="宋体" w:hAnsi="宋体" w:cs="宋体"/>
                <w:color w:val="auto"/>
                <w:kern w:val="0"/>
                <w:sz w:val="22"/>
                <w:szCs w:val="22"/>
                <w:highlight w:val="none"/>
                <w:u w:val="single"/>
              </w:rPr>
              <w:t>服务类</w:t>
            </w:r>
            <w:r>
              <w:rPr>
                <w:rFonts w:hint="eastAsia" w:ascii="宋体" w:hAnsi="宋体" w:cs="宋体"/>
                <w:color w:val="auto"/>
                <w:kern w:val="0"/>
                <w:sz w:val="22"/>
                <w:szCs w:val="22"/>
                <w:highlight w:val="none"/>
                <w:u w:val="single"/>
                <w:lang w:val="zh-CN"/>
              </w:rPr>
              <w:t>发票后</w:t>
            </w:r>
            <w:r>
              <w:rPr>
                <w:rFonts w:hint="eastAsia" w:ascii="宋体" w:hAnsi="宋体" w:cs="宋体"/>
                <w:color w:val="auto"/>
                <w:kern w:val="0"/>
                <w:sz w:val="22"/>
                <w:szCs w:val="22"/>
                <w:highlight w:val="none"/>
                <w:u w:val="single"/>
              </w:rPr>
              <w:t>7</w:t>
            </w:r>
            <w:r>
              <w:rPr>
                <w:rFonts w:hint="eastAsia" w:ascii="宋体" w:hAnsi="宋体" w:cs="宋体"/>
                <w:color w:val="auto"/>
                <w:kern w:val="0"/>
                <w:sz w:val="22"/>
                <w:szCs w:val="22"/>
                <w:highlight w:val="none"/>
                <w:u w:val="single"/>
                <w:lang w:val="zh-CN"/>
              </w:rPr>
              <w:t>个工作日内，</w:t>
            </w: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u w:val="single"/>
                <w:lang w:val="zh-CN"/>
              </w:rPr>
              <w:t>支付</w:t>
            </w:r>
            <w:r>
              <w:rPr>
                <w:rFonts w:hint="eastAsia" w:ascii="宋体" w:hAnsi="宋体" w:cs="宋体"/>
                <w:color w:val="auto"/>
                <w:kern w:val="0"/>
                <w:sz w:val="22"/>
                <w:szCs w:val="22"/>
                <w:highlight w:val="none"/>
                <w:u w:val="single"/>
              </w:rPr>
              <w:t>付至结算价的100%</w:t>
            </w:r>
            <w:r>
              <w:rPr>
                <w:rFonts w:hint="eastAsia" w:ascii="宋体" w:hAnsi="宋体" w:cs="宋体"/>
                <w:color w:val="auto"/>
                <w:kern w:val="0"/>
                <w:sz w:val="22"/>
                <w:szCs w:val="22"/>
                <w:highlight w:val="none"/>
                <w:u w:val="single"/>
                <w:lang w:val="zh-CN"/>
              </w:rPr>
              <w:t>并退还保函</w:t>
            </w:r>
            <w:r>
              <w:rPr>
                <w:rFonts w:hint="eastAsia" w:ascii="宋体" w:hAnsi="宋体" w:cs="宋体"/>
                <w:color w:val="auto"/>
                <w:kern w:val="0"/>
                <w:sz w:val="22"/>
                <w:szCs w:val="22"/>
                <w:highlight w:val="none"/>
                <w:u w:val="single"/>
              </w:rPr>
              <w:t>。</w:t>
            </w:r>
          </w:p>
          <w:p>
            <w:pPr>
              <w:widowControl/>
              <w:snapToGrid w:val="0"/>
              <w:spacing w:after="0" w:line="3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u w:val="single"/>
              </w:rPr>
              <w:t>注：</w:t>
            </w:r>
            <w:r>
              <w:rPr>
                <w:rFonts w:hint="eastAsia" w:ascii="宋体" w:hAnsi="宋体" w:cs="宋体"/>
                <w:color w:val="auto"/>
                <w:spacing w:val="-6"/>
                <w:sz w:val="22"/>
                <w:szCs w:val="22"/>
                <w:highlight w:val="none"/>
                <w:u w:val="single"/>
              </w:rPr>
              <w:t>所有服务款结算以实际服务工作量为准，经采购人指定的咨询公司审价后确定结算金额。本项目最终结算价不超过成交金额，否则超出部分由成交供应商自行承担费用。合同款支付至合同约定的牵头人账号。在签订</w:t>
            </w:r>
            <w:r>
              <w:rPr>
                <w:rFonts w:hint="eastAsia" w:ascii="宋体" w:hAnsi="宋体" w:cs="宋体"/>
                <w:color w:val="auto"/>
                <w:kern w:val="0"/>
                <w:sz w:val="22"/>
                <w:szCs w:val="22"/>
                <w:highlight w:val="none"/>
                <w:u w:val="single"/>
              </w:rPr>
              <w:t>合同时，成交供应商明确表示无需预付款或者主动要求降低预付款比例的，按实际比例计</w:t>
            </w:r>
            <w:r>
              <w:rPr>
                <w:rFonts w:hint="eastAsia" w:ascii="宋体" w:hAnsi="宋体" w:cs="宋体"/>
                <w:color w:val="auto"/>
                <w:kern w:val="0"/>
                <w:sz w:val="22"/>
                <w:szCs w:val="22"/>
                <w:highlight w:val="none"/>
                <w:u w:val="singl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服务时间</w:t>
            </w:r>
          </w:p>
        </w:tc>
        <w:tc>
          <w:tcPr>
            <w:tcW w:w="7837"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2023年09月15日前完工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c>
          <w:tcPr>
            <w:tcW w:w="7837"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自验收合格之日起2年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服务地点</w:t>
            </w:r>
          </w:p>
        </w:tc>
        <w:tc>
          <w:tcPr>
            <w:tcW w:w="7837"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服务效率</w:t>
            </w:r>
          </w:p>
        </w:tc>
        <w:tc>
          <w:tcPr>
            <w:tcW w:w="7837" w:type="dxa"/>
            <w:tcBorders>
              <w:top w:val="single" w:color="auto" w:sz="4" w:space="0"/>
              <w:left w:val="single" w:color="auto" w:sz="4" w:space="0"/>
              <w:bottom w:val="single" w:color="auto" w:sz="4" w:space="0"/>
              <w:right w:val="single" w:color="auto" w:sz="4" w:space="0"/>
            </w:tcBorders>
            <w:vAlign w:val="center"/>
          </w:tcPr>
          <w:p>
            <w:pPr>
              <w:pStyle w:val="8"/>
              <w:snapToGrid w:val="0"/>
              <w:spacing w:after="0" w:line="360" w:lineRule="exact"/>
              <w:contextualSpacing/>
              <w:rPr>
                <w:rFonts w:hAnsi="宋体" w:cs="宋体"/>
                <w:color w:val="auto"/>
                <w:kern w:val="0"/>
                <w:sz w:val="22"/>
                <w:szCs w:val="22"/>
                <w:highlight w:val="none"/>
              </w:rPr>
            </w:pPr>
            <w:r>
              <w:rPr>
                <w:rFonts w:hint="eastAsia" w:hAnsi="宋体" w:cs="宋体"/>
                <w:color w:val="auto"/>
                <w:sz w:val="22"/>
                <w:szCs w:val="22"/>
                <w:highlight w:val="none"/>
              </w:rPr>
              <w:t>如在展览过程中发生质量问题，成交供应商须接到采购人通知后2-4小时内到达现场，4-8小时内修复，12-24小时内无法修复的，需更换或免费提供代用产品。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hAnsi="宋体" w:cs="宋体"/>
                <w:b/>
                <w:bCs/>
                <w:color w:val="auto"/>
                <w:sz w:val="22"/>
                <w:szCs w:val="22"/>
                <w:highlight w:val="none"/>
              </w:rPr>
            </w:pPr>
            <w:r>
              <w:rPr>
                <w:rFonts w:hint="eastAsia" w:ascii="宋体" w:hAnsi="宋体" w:cs="宋体"/>
                <w:b/>
                <w:bCs/>
                <w:color w:val="auto"/>
                <w:spacing w:val="-6"/>
                <w:sz w:val="22"/>
                <w:szCs w:val="22"/>
                <w:highlight w:val="none"/>
              </w:rPr>
              <w:t>验收标准</w:t>
            </w:r>
          </w:p>
        </w:tc>
        <w:tc>
          <w:tcPr>
            <w:tcW w:w="7837"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响应文件、采购文件等约定的质量、数量、技术指标或者服务要求设验收指标及其标准。未约定的，应当符合国家强制性规定、政策要求、安全标准、行业或企业有关标准等。</w:t>
            </w:r>
          </w:p>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2.本项目为全过程审价。</w:t>
            </w:r>
          </w:p>
          <w:p>
            <w:pPr>
              <w:widowControl/>
              <w:spacing w:after="0" w:line="36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3.如验收产生费用由成交供应商承担。</w:t>
            </w:r>
          </w:p>
        </w:tc>
      </w:tr>
    </w:tbl>
    <w:p>
      <w:pPr>
        <w:numPr>
          <w:ilvl w:val="0"/>
          <w:numId w:val="7"/>
        </w:numPr>
        <w:snapToGrid w:val="0"/>
        <w:spacing w:after="0" w:line="360" w:lineRule="exact"/>
        <w:rPr>
          <w:rFonts w:ascii="宋体" w:hAnsi="宋体" w:cs="宋体"/>
          <w:color w:val="auto"/>
          <w:highlight w:val="none"/>
        </w:rPr>
      </w:pPr>
      <w:r>
        <w:rPr>
          <w:rFonts w:hint="eastAsia" w:ascii="宋体" w:hAnsi="宋体" w:cs="宋体"/>
          <w:b/>
          <w:bCs/>
          <w:color w:val="auto"/>
          <w:spacing w:val="-6"/>
          <w:sz w:val="22"/>
          <w:szCs w:val="22"/>
          <w:highlight w:val="none"/>
        </w:rPr>
        <w:t>技术要求</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（一）温州市松台别业文化展馆展陈布置与实施项目设计说明文件</w:t>
      </w:r>
    </w:p>
    <w:p>
      <w:pPr>
        <w:spacing w:after="0" w:line="360" w:lineRule="exact"/>
        <w:rPr>
          <w:rFonts w:ascii="宋体" w:hAnsi="宋体" w:cs="宋体"/>
          <w:color w:val="auto"/>
          <w:sz w:val="22"/>
          <w:szCs w:val="22"/>
          <w:highlight w:val="none"/>
        </w:rPr>
      </w:pPr>
      <w:r>
        <w:rPr>
          <w:rFonts w:hint="eastAsia" w:ascii="宋体" w:hAnsi="宋体" w:cs="宋体"/>
          <w:b/>
          <w:bCs/>
          <w:color w:val="auto"/>
          <w:sz w:val="22"/>
          <w:szCs w:val="22"/>
          <w:highlight w:val="none"/>
        </w:rPr>
        <w:t>1.温州市松台别业文化展馆展陈布置与实施项目建设设计物理空间背景特征：</w:t>
      </w:r>
    </w:p>
    <w:p>
      <w:pPr>
        <w:numPr>
          <w:ilvl w:val="0"/>
          <w:numId w:val="8"/>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地理区位特征：</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本项目位于温州古城西南，九山公园九山湖落霞潭东侧、温州七中西北角。旧时黄群别业（前身为松台别业文化展馆，亦称“黄群花园”，以下简称“松台别业文化展馆”），建筑面积580平方米，</w:t>
      </w:r>
      <w:r>
        <w:rPr>
          <w:rFonts w:hint="eastAsia" w:ascii="宋体" w:hAnsi="宋体" w:cs="宋体"/>
          <w:color w:val="auto"/>
          <w:sz w:val="22"/>
          <w:szCs w:val="22"/>
          <w:highlight w:val="none"/>
          <w:lang w:val="zh-CN"/>
        </w:rPr>
        <w:t>以实际图纸交付为准</w:t>
      </w:r>
      <w:r>
        <w:rPr>
          <w:rFonts w:hint="eastAsia" w:ascii="宋体" w:hAnsi="宋体" w:cs="宋体"/>
          <w:color w:val="auto"/>
          <w:sz w:val="22"/>
          <w:szCs w:val="22"/>
          <w:highlight w:val="none"/>
        </w:rPr>
        <w:t>，其中主楼（豁蒙楼）建筑面积约为400㎡，庭院占地面积350㎡，亭廊建筑约为85㎡。</w:t>
      </w:r>
    </w:p>
    <w:p>
      <w:pPr>
        <w:numPr>
          <w:ilvl w:val="0"/>
          <w:numId w:val="8"/>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自然环境特点</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温州市松台别业文化展馆展陈布置与实施项目背靠七中、临水而建，松台山下九山湖畔。</w:t>
      </w:r>
    </w:p>
    <w:p>
      <w:pPr>
        <w:numPr>
          <w:ilvl w:val="0"/>
          <w:numId w:val="8"/>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规模</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温州市松台别业文化展馆展陈布置与实施项目总规划面积约为665㎡（具体以实际测量为准）。</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2.设计主题：</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温州市“松台别业”文化展馆是一座公益性展馆，“松台别业”曾经是黄溯初先生在温州旅居生活过的空间，该展馆的设计思路主要围绕民国时期黄群（黄溯初）</w:t>
      </w:r>
      <w:r>
        <w:rPr>
          <w:rFonts w:hint="eastAsia" w:ascii="宋体" w:hAnsi="宋体" w:cs="宋体"/>
          <w:color w:val="auto"/>
          <w:sz w:val="22"/>
          <w:szCs w:val="22"/>
          <w:highlight w:val="none"/>
          <w:lang w:eastAsia="zh-Hans"/>
        </w:rPr>
        <w:t>先生</w:t>
      </w:r>
      <w:r>
        <w:rPr>
          <w:rFonts w:hint="eastAsia" w:ascii="宋体" w:hAnsi="宋体" w:cs="宋体"/>
          <w:color w:val="auto"/>
          <w:sz w:val="22"/>
          <w:szCs w:val="22"/>
          <w:highlight w:val="none"/>
        </w:rPr>
        <w:t>的生平生活、</w:t>
      </w:r>
      <w:r>
        <w:rPr>
          <w:rFonts w:hint="eastAsia" w:ascii="宋体" w:hAnsi="宋体" w:cs="宋体"/>
          <w:color w:val="auto"/>
          <w:sz w:val="22"/>
          <w:szCs w:val="22"/>
          <w:highlight w:val="none"/>
          <w:lang w:eastAsia="zh-Hans"/>
        </w:rPr>
        <w:t>平生功业与人物交往</w:t>
      </w:r>
      <w:r>
        <w:rPr>
          <w:rFonts w:hint="eastAsia" w:ascii="宋体" w:hAnsi="宋体" w:cs="宋体"/>
          <w:color w:val="auto"/>
          <w:sz w:val="22"/>
          <w:szCs w:val="22"/>
          <w:highlight w:val="none"/>
        </w:rPr>
        <w:t>为展览主线，以展示加运营模式将“松台别业”再现给广大市民们；</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设计主题：围绕民国风格建筑空间、打造一个融合名人记忆、文学、艺术、文创以及具备民国风格的生活型文化艺术体验空间；</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设计风格：“松台别业”文化展馆体现出黄溯初</w:t>
      </w:r>
      <w:r>
        <w:rPr>
          <w:rFonts w:hint="eastAsia" w:ascii="宋体" w:hAnsi="宋体" w:cs="宋体"/>
          <w:color w:val="auto"/>
          <w:sz w:val="22"/>
          <w:szCs w:val="22"/>
          <w:highlight w:val="none"/>
          <w:lang w:eastAsia="zh-Hans"/>
        </w:rPr>
        <w:t>先生</w:t>
      </w:r>
      <w:r>
        <w:rPr>
          <w:rFonts w:hint="eastAsia" w:ascii="宋体" w:hAnsi="宋体" w:cs="宋体"/>
          <w:color w:val="auto"/>
          <w:sz w:val="22"/>
          <w:szCs w:val="22"/>
          <w:highlight w:val="none"/>
        </w:rPr>
        <w:t>生平留洋、主要旅居过上海等大都市的生活格调，融合当代回归自然生活的民国风，稳重、典雅、轻松惬意格调；</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运营模式：“松台别业”的运营模式主要结合温州大学学科与教学特点，来开展专业策展与学术交流活动，并由温州大学引入契合本项目特点的商业业态来维持后续整体管理及运营，在这里不仅可以领略文学艺术之类、还可以近距离接触感受休闲惬意的自然气息。</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人群定位：“松台别业”文化展馆的主要人群定位包括：高阶学者、当代文学艺术爱好者、中小学生以及知性女性等；</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3.温州市松台别业文化展馆展陈设计说明：</w:t>
      </w:r>
    </w:p>
    <w:p>
      <w:pPr>
        <w:numPr>
          <w:ilvl w:val="0"/>
          <w:numId w:val="9"/>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设计范围：主体建筑（豁蒙楼）室内展陈设计、庭院布置、临河凉廊布置；</w:t>
      </w:r>
    </w:p>
    <w:p>
      <w:pPr>
        <w:numPr>
          <w:ilvl w:val="0"/>
          <w:numId w:val="9"/>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设计功能：本项目设计应具备展示、交流、办公、休闲、茶饮与静思功能；</w:t>
      </w:r>
    </w:p>
    <w:p>
      <w:pPr>
        <w:numPr>
          <w:ilvl w:val="0"/>
          <w:numId w:val="9"/>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设计宗旨：尽可能不破坏现有建筑空间、不对原有空间的地面、楼板以及顶棚进行过多改造，保留原民国建筑风格与格调；</w:t>
      </w:r>
    </w:p>
    <w:p>
      <w:pPr>
        <w:numPr>
          <w:ilvl w:val="0"/>
          <w:numId w:val="9"/>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温州市松台别业文化展馆展陈布置与实施项目设计装修主要包括：</w:t>
      </w:r>
    </w:p>
    <w:p>
      <w:pPr>
        <w:numPr>
          <w:ilvl w:val="0"/>
          <w:numId w:val="10"/>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松台别业文化展馆内部主体展馆装饰设计和功能规划布局设计；</w:t>
      </w:r>
    </w:p>
    <w:p>
      <w:pPr>
        <w:numPr>
          <w:ilvl w:val="0"/>
          <w:numId w:val="10"/>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松台别业文化展馆展示厅展陈设计；</w:t>
      </w:r>
    </w:p>
    <w:p>
      <w:pPr>
        <w:numPr>
          <w:ilvl w:val="0"/>
          <w:numId w:val="10"/>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松台别业文化展馆内部研讨、交流区设计；</w:t>
      </w:r>
    </w:p>
    <w:p>
      <w:pPr>
        <w:numPr>
          <w:ilvl w:val="0"/>
          <w:numId w:val="10"/>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松台别业文化展馆户外庭院微改造提升设计；</w:t>
      </w:r>
    </w:p>
    <w:p>
      <w:pPr>
        <w:numPr>
          <w:ilvl w:val="0"/>
          <w:numId w:val="10"/>
        </w:numPr>
        <w:spacing w:after="0" w:line="360" w:lineRule="exact"/>
        <w:rPr>
          <w:rFonts w:ascii="宋体" w:hAnsi="宋体" w:cs="宋体"/>
          <w:color w:val="auto"/>
          <w:highlight w:val="none"/>
        </w:rPr>
      </w:pPr>
      <w:r>
        <w:rPr>
          <w:rFonts w:hint="eastAsia" w:ascii="宋体" w:hAnsi="宋体" w:cs="宋体"/>
          <w:color w:val="auto"/>
          <w:sz w:val="22"/>
          <w:szCs w:val="22"/>
          <w:highlight w:val="none"/>
        </w:rPr>
        <w:t>松台别业文化展馆临水廊亭展陈设计；</w:t>
      </w:r>
    </w:p>
    <w:p>
      <w:pPr>
        <w:numPr>
          <w:ilvl w:val="0"/>
          <w:numId w:val="10"/>
        </w:numPr>
        <w:spacing w:after="0" w:line="360" w:lineRule="exact"/>
        <w:rPr>
          <w:rFonts w:ascii="宋体" w:hAnsi="宋体" w:cs="宋体"/>
          <w:color w:val="auto"/>
          <w:highlight w:val="none"/>
        </w:rPr>
      </w:pPr>
      <w:r>
        <w:rPr>
          <w:rFonts w:hint="eastAsia" w:ascii="宋体" w:hAnsi="宋体" w:cs="宋体"/>
          <w:color w:val="auto"/>
          <w:sz w:val="22"/>
          <w:szCs w:val="22"/>
          <w:highlight w:val="none"/>
        </w:rPr>
        <w:t>松台别业文化展馆软装设计。</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4.温州市松台别业文化展馆功能介绍：</w:t>
      </w:r>
    </w:p>
    <w:p>
      <w:pPr>
        <w:pStyle w:val="132"/>
        <w:spacing w:after="0" w:line="360" w:lineRule="exact"/>
        <w:ind w:firstLine="440"/>
        <w:rPr>
          <w:rFonts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温州市松台别业文化展馆主要以纪念黄溯初生平爱国敬乡的事迹和平生志业为轴线，重点展示其为温州的金融、科教文卫事业做出的卓越贡献。温州人熟悉的文化、教育、金融、医疗等领域中，温州大学、瓯海医院（附一医的前身），以及温州第一家电信企业、第一家地方银行等许多个第一都与他有关。</w:t>
      </w:r>
    </w:p>
    <w:p>
      <w:pPr>
        <w:numPr>
          <w:ilvl w:val="0"/>
          <w:numId w:val="11"/>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松台别业文化展馆”一楼展厅：主要功能是整体展示黄溯初的平生功业。在业态环境中，以文献展板形式为主。二楼展厅：主要展出黄溯初生平与重要人物交往的精选书画、照片等艺术品，以高仿复制的作品为主，营造高雅的艺术氛围。</w:t>
      </w:r>
    </w:p>
    <w:p>
      <w:pPr>
        <w:numPr>
          <w:ilvl w:val="0"/>
          <w:numId w:val="11"/>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松台别业文化展馆展示内容主要涉及有文字说明、传记书本、生平物件、各类照片（部分含电子版本）、人物肖像、书画家具等。</w:t>
      </w:r>
    </w:p>
    <w:p>
      <w:pPr>
        <w:numPr>
          <w:ilvl w:val="0"/>
          <w:numId w:val="11"/>
        </w:numPr>
        <w:spacing w:after="0" w:line="360" w:lineRule="exact"/>
        <w:ind w:left="0"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drawing>
          <wp:anchor distT="0" distB="0" distL="114300" distR="114300" simplePos="0" relativeHeight="251663360" behindDoc="0" locked="0" layoutInCell="1" allowOverlap="1">
            <wp:simplePos x="0" y="0"/>
            <wp:positionH relativeFrom="column">
              <wp:posOffset>900430</wp:posOffset>
            </wp:positionH>
            <wp:positionV relativeFrom="paragraph">
              <wp:posOffset>934720</wp:posOffset>
            </wp:positionV>
            <wp:extent cx="3644900" cy="4432300"/>
            <wp:effectExtent l="0" t="0" r="12700" b="6350"/>
            <wp:wrapTopAndBottom/>
            <wp:docPr id="4" name="图片 4" descr="ce8c6ee4cae136ed0b846cabc2fe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8c6ee4cae136ed0b846cabc2fe747"/>
                    <pic:cNvPicPr>
                      <a:picLocks noChangeAspect="1"/>
                    </pic:cNvPicPr>
                  </pic:nvPicPr>
                  <pic:blipFill>
                    <a:blip r:embed="rId8"/>
                    <a:stretch>
                      <a:fillRect/>
                    </a:stretch>
                  </pic:blipFill>
                  <pic:spPr>
                    <a:xfrm>
                      <a:off x="0" y="0"/>
                      <a:ext cx="3644900" cy="4432300"/>
                    </a:xfrm>
                    <a:prstGeom prst="rect">
                      <a:avLst/>
                    </a:prstGeom>
                  </pic:spPr>
                </pic:pic>
              </a:graphicData>
            </a:graphic>
          </wp:anchor>
        </w:drawing>
      </w:r>
      <w:r>
        <w:rPr>
          <w:rFonts w:hint="eastAsia" w:ascii="宋体" w:hAnsi="宋体" w:cs="宋体"/>
          <w:color w:val="auto"/>
          <w:sz w:val="22"/>
          <w:szCs w:val="22"/>
          <w:highlight w:val="none"/>
        </w:rPr>
        <w:t>松台别业文化展馆以纪念黄溯初先生：师从永嘉学派立志救国，投身辛亥革命运筹护国，弃政从商致力实业救国的这样一位实业家、教育家；本展厅在展示的同时，也为广大温州市民提供一个接受教育、学习、以及休闲交流的互动场所.</w:t>
      </w:r>
    </w:p>
    <w:p>
      <w:pPr>
        <w:numPr>
          <w:ilvl w:val="0"/>
          <w:numId w:val="11"/>
        </w:numPr>
        <w:spacing w:after="0" w:line="360" w:lineRule="exact"/>
        <w:ind w:left="0" w:firstLine="420" w:firstLineChars="200"/>
        <w:rPr>
          <w:rFonts w:ascii="宋体" w:hAnsi="宋体" w:cs="宋体"/>
          <w:b/>
          <w:bCs/>
          <w:color w:val="auto"/>
          <w:sz w:val="22"/>
          <w:szCs w:val="22"/>
          <w:highlight w:val="none"/>
        </w:rPr>
      </w:pPr>
      <w:r>
        <w:rPr>
          <w:rFonts w:hint="eastAsia"/>
          <w:color w:val="auto"/>
          <w:kern w:val="0"/>
          <w:szCs w:val="21"/>
          <w:highlight w:val="none"/>
        </w:rPr>
        <w:t>空间功能规划：展示区；储藏室；服务台；操作间、卫生间、办公室；互动交流区；户外交流区。</w:t>
      </w:r>
    </w:p>
    <w:p>
      <w:pPr>
        <w:spacing w:after="0" w:line="360" w:lineRule="exact"/>
        <w:rPr>
          <w:rFonts w:ascii="宋体" w:hAnsi="宋体" w:cs="宋体"/>
          <w:color w:val="auto"/>
          <w:sz w:val="22"/>
          <w:szCs w:val="22"/>
          <w:highlight w:val="none"/>
        </w:rPr>
      </w:pPr>
      <w:r>
        <w:rPr>
          <w:rFonts w:hint="eastAsia" w:ascii="宋体" w:hAnsi="宋体" w:cs="宋体"/>
          <w:b/>
          <w:bCs/>
          <w:color w:val="auto"/>
          <w:sz w:val="22"/>
          <w:szCs w:val="22"/>
          <w:highlight w:val="none"/>
        </w:rPr>
        <w:t>5.项目方案设计时需要注意事项</w:t>
      </w:r>
      <w:r>
        <w:rPr>
          <w:rFonts w:hint="eastAsia" w:ascii="宋体" w:hAnsi="宋体" w:cs="宋体"/>
          <w:color w:val="auto"/>
          <w:sz w:val="22"/>
          <w:szCs w:val="22"/>
          <w:highlight w:val="none"/>
        </w:rPr>
        <w:t>：</w:t>
      </w:r>
    </w:p>
    <w:p>
      <w:pPr>
        <w:numPr>
          <w:ilvl w:val="0"/>
          <w:numId w:val="12"/>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在基础硬装改造方面，尽可能不破坏原有建筑地面、墙面以及吊顶；</w:t>
      </w:r>
    </w:p>
    <w:p>
      <w:pPr>
        <w:numPr>
          <w:ilvl w:val="0"/>
          <w:numId w:val="12"/>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在材质使用方面：木制类装饰板材必须达到防护阻燃B1等级，其他板材需要达到防护阻燃A等级，所采用的大理石/文化石、实木板材、铝板等都要符合参照或相当于以上参考品牌的档次；吊顶装饰建议采用裸顶、半裸顶、或局部艺术造型，尽量对原有消防设施不进行大面积改动；</w:t>
      </w:r>
    </w:p>
    <w:p>
      <w:pPr>
        <w:numPr>
          <w:ilvl w:val="0"/>
          <w:numId w:val="12"/>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在色彩使用方面：整体空间采用中灰度、暖色系为主色调，适度配合其它颜色进行装饰；</w:t>
      </w:r>
    </w:p>
    <w:p>
      <w:pPr>
        <w:numPr>
          <w:ilvl w:val="0"/>
          <w:numId w:val="12"/>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展示墙体主要以艺术涂料、饰面板或新型装饰材料为主；</w:t>
      </w:r>
    </w:p>
    <w:p>
      <w:pPr>
        <w:numPr>
          <w:ilvl w:val="0"/>
          <w:numId w:val="12"/>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对于庭院部分的改造，保持现有庭院树木为基础，不要破坏现有庭院的格调；</w:t>
      </w:r>
    </w:p>
    <w:p>
      <w:pPr>
        <w:numPr>
          <w:ilvl w:val="0"/>
          <w:numId w:val="12"/>
        </w:numPr>
        <w:spacing w:after="0" w:line="360" w:lineRule="exact"/>
        <w:ind w:left="0"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关于亭廊文化提升，保持现有亭廊建筑样式为宜，适当做局部微调提升改造；</w:t>
      </w:r>
    </w:p>
    <w:p>
      <w:pPr>
        <w:numPr>
          <w:ilvl w:val="0"/>
          <w:numId w:val="12"/>
        </w:numPr>
        <w:spacing w:after="0" w:line="360" w:lineRule="exact"/>
        <w:ind w:left="0" w:firstLine="442" w:firstLineChars="200"/>
        <w:rPr>
          <w:color w:val="auto"/>
          <w:highlight w:val="none"/>
        </w:rPr>
      </w:pPr>
      <w:r>
        <w:rPr>
          <w:rFonts w:hint="eastAsia" w:ascii="宋体" w:hAnsi="宋体" w:cs="宋体"/>
          <w:b/>
          <w:bCs/>
          <w:color w:val="auto"/>
          <w:sz w:val="22"/>
          <w:szCs w:val="22"/>
          <w:highlight w:val="none"/>
        </w:rPr>
        <w:t>总体设计符合生态要求。如出现封窗、遮挡门窗等影响室内采光及空气流通的设计经采购人同意后方可实施。</w:t>
      </w:r>
    </w:p>
    <w:p>
      <w:pPr>
        <w:numPr>
          <w:ilvl w:val="0"/>
          <w:numId w:val="12"/>
        </w:numPr>
        <w:spacing w:after="0" w:line="360" w:lineRule="exact"/>
        <w:ind w:left="0"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供应商承诺针对本项目使用的相应产品材料（设备）涉及到节能环保的，按照政府采购和国家要求使用节能环保产品材料（设备），符合政府采购和国家节能环保要求。</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（二）暖通、消防、监控、报警、电子化等有关系统</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需由具有相关专业资质的单位设计、施工。</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1.暖通系统</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展馆主体建筑（豁蒙楼）未配置空调，需要结合本项目展示的特点以及空间布局，在本着节能环保、强调生态通风的基础上规划配置中央空调设备及</w:t>
      </w:r>
      <w:r>
        <w:rPr>
          <w:rFonts w:hint="eastAsia"/>
          <w:color w:val="auto"/>
          <w:sz w:val="22"/>
          <w:szCs w:val="22"/>
          <w:highlight w:val="none"/>
        </w:rPr>
        <w:t>消水消电改造</w:t>
      </w:r>
      <w:r>
        <w:rPr>
          <w:rFonts w:hint="eastAsia" w:ascii="宋体" w:hAnsi="宋体" w:cs="宋体"/>
          <w:color w:val="auto"/>
          <w:sz w:val="22"/>
          <w:szCs w:val="22"/>
          <w:highlight w:val="none"/>
        </w:rPr>
        <w:t>；在空调系统和陈列柜空调系统，有不同的指标要求；涉及陈列柜的，内部原则上要求恒湿标准。展馆参观空间要求根据各展馆空间不同温度、通风需求，自动实行变风量调节以满足各自展馆空间温湿度需求。两个系统分开独立运行，做到节能、绿色、安全。</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2.电子化设备</w:t>
      </w:r>
    </w:p>
    <w:p>
      <w:pPr>
        <w:spacing w:after="0" w:line="360" w:lineRule="exact"/>
        <w:ind w:firstLine="440" w:firstLineChars="200"/>
        <w:rPr>
          <w:color w:val="auto"/>
          <w:sz w:val="22"/>
          <w:szCs w:val="22"/>
          <w:highlight w:val="none"/>
        </w:rPr>
      </w:pPr>
      <w:r>
        <w:rPr>
          <w:rFonts w:hint="eastAsia"/>
          <w:color w:val="auto"/>
          <w:sz w:val="22"/>
          <w:szCs w:val="22"/>
          <w:highlight w:val="none"/>
        </w:rPr>
        <w:t>多媒体设备采购软件应用编程及展示内容制作；激光电视；监控；音响设备；信息网络系统；</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本展厅需要配置监控系统，监控系统需求清晰度高，存储高速，能实时调看监控。馆内外监控链接到监控电视墙；系统记录的信息应包含声音和图像编号/地址、记录时的时间和日期，利于突发情况的紧急处理和取证。监控系统可以做智能报警。</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2.2考虑“松台别业文化展馆”展馆需要实现一定的接待、参观任务，根据设计需求，设置无线讲解系统。</w:t>
      </w:r>
    </w:p>
    <w:p>
      <w:pPr>
        <w:spacing w:after="0" w:line="360" w:lineRule="exact"/>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2.3信息网络系统</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对馆内外相关的语音、数据、图像和多媒体等形式的信息予以接收、交换、传输、处理、存储、检索和显示等功能。融合信息化所需的各类信息设施，并为育英纪念馆的使用者或管理者提供信息化应用的基础条件。无线网络满足对现有和将来一定阶段内的数据传输需求。</w:t>
      </w:r>
    </w:p>
    <w:p>
      <w:pPr>
        <w:spacing w:after="0" w:line="3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3.展陈内容制造：</w:t>
      </w:r>
    </w:p>
    <w:p>
      <w:pPr>
        <w:spacing w:after="0" w:line="360" w:lineRule="exact"/>
        <w:ind w:firstLine="440" w:firstLineChars="200"/>
        <w:rPr>
          <w:color w:val="auto"/>
          <w:kern w:val="0"/>
          <w:sz w:val="22"/>
          <w:szCs w:val="22"/>
          <w:highlight w:val="none"/>
        </w:rPr>
      </w:pPr>
      <w:r>
        <w:rPr>
          <w:rFonts w:hint="eastAsia"/>
          <w:color w:val="auto"/>
          <w:kern w:val="0"/>
          <w:sz w:val="22"/>
          <w:szCs w:val="22"/>
          <w:highlight w:val="none"/>
        </w:rPr>
        <w:t>展板制作，展陈内容制作；精品画框若干；展品制作采购；精品展柜8组；装饰柜1组；高仿名人字画</w:t>
      </w:r>
      <w:r>
        <w:rPr>
          <w:color w:val="auto"/>
          <w:kern w:val="0"/>
          <w:sz w:val="22"/>
          <w:szCs w:val="22"/>
          <w:highlight w:val="none"/>
        </w:rPr>
        <w:t>2</w:t>
      </w:r>
      <w:r>
        <w:rPr>
          <w:rFonts w:hint="eastAsia"/>
          <w:color w:val="auto"/>
          <w:kern w:val="0"/>
          <w:sz w:val="22"/>
          <w:szCs w:val="22"/>
          <w:highlight w:val="none"/>
        </w:rPr>
        <w:t>0套。</w:t>
      </w:r>
    </w:p>
    <w:p>
      <w:pPr>
        <w:numPr>
          <w:ilvl w:val="0"/>
          <w:numId w:val="13"/>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采用带安全锁的展示柜；</w:t>
      </w:r>
    </w:p>
    <w:p>
      <w:pPr>
        <w:numPr>
          <w:ilvl w:val="0"/>
          <w:numId w:val="13"/>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展示柜的玻璃罩采用无缝拼接技术，玻璃采用双面超白玻，玻璃罩边角要处理精致、无明显拼接痕迹；</w:t>
      </w:r>
    </w:p>
    <w:p>
      <w:pPr>
        <w:numPr>
          <w:ilvl w:val="0"/>
          <w:numId w:val="13"/>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整个主体展馆内部温度控制在20-24℃之间、湿度在45-55之间；</w:t>
      </w:r>
    </w:p>
    <w:p>
      <w:pPr>
        <w:numPr>
          <w:ilvl w:val="0"/>
          <w:numId w:val="13"/>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国内照明设备品质等级；光源显色性要准确、光束角一定要达到展览馆标准；照明设备有线形灯带、T5LED灯带、小口径射灯（射灯带反炫光壳）；</w:t>
      </w:r>
    </w:p>
    <w:p>
      <w:pPr>
        <w:numPr>
          <w:ilvl w:val="0"/>
          <w:numId w:val="13"/>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布置电子除尘设备。</w:t>
      </w:r>
    </w:p>
    <w:p>
      <w:pPr>
        <w:numPr>
          <w:ilvl w:val="0"/>
          <w:numId w:val="13"/>
        </w:numPr>
        <w:spacing w:after="0" w:line="360" w:lineRule="exact"/>
        <w:ind w:left="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精品展柜和装饰柜要求：双面超白玻璃、带锁，玻璃拼接细腻、无多余边角，内置硬包托板；底座为实木底座。</w:t>
      </w:r>
    </w:p>
    <w:p>
      <w:pPr>
        <w:spacing w:after="0" w:line="360" w:lineRule="exact"/>
        <w:rPr>
          <w:b/>
          <w:bCs/>
          <w:color w:val="auto"/>
          <w:kern w:val="0"/>
          <w:sz w:val="22"/>
          <w:szCs w:val="22"/>
          <w:highlight w:val="none"/>
        </w:rPr>
      </w:pPr>
      <w:r>
        <w:rPr>
          <w:rFonts w:hint="eastAsia"/>
          <w:b/>
          <w:bCs/>
          <w:color w:val="auto"/>
          <w:kern w:val="0"/>
          <w:sz w:val="22"/>
          <w:szCs w:val="22"/>
          <w:highlight w:val="none"/>
        </w:rPr>
        <w:t>（三）软装方面：</w:t>
      </w:r>
    </w:p>
    <w:p>
      <w:pPr>
        <w:spacing w:after="0" w:line="360" w:lineRule="exact"/>
        <w:ind w:firstLine="440" w:firstLineChars="200"/>
        <w:rPr>
          <w:rFonts w:ascii="宋体" w:hAnsi="宋体" w:cs="宋体"/>
          <w:b/>
          <w:bCs/>
          <w:color w:val="auto"/>
          <w:sz w:val="22"/>
          <w:szCs w:val="22"/>
          <w:highlight w:val="none"/>
        </w:rPr>
      </w:pPr>
      <w:r>
        <w:rPr>
          <w:rFonts w:hint="eastAsia"/>
          <w:color w:val="auto"/>
          <w:sz w:val="22"/>
          <w:szCs w:val="22"/>
          <w:highlight w:val="none"/>
        </w:rPr>
        <w:t>装饰品若干、装饰绿植4组，窗帘。</w:t>
      </w:r>
    </w:p>
    <w:p>
      <w:pPr>
        <w:spacing w:after="0" w:line="360" w:lineRule="exact"/>
        <w:rPr>
          <w:b/>
          <w:color w:val="auto"/>
          <w:sz w:val="22"/>
          <w:szCs w:val="22"/>
          <w:highlight w:val="none"/>
        </w:rPr>
      </w:pPr>
      <w:r>
        <w:rPr>
          <w:rFonts w:hint="eastAsia" w:ascii="宋体" w:hAnsi="宋体" w:cs="宋体"/>
          <w:b/>
          <w:bCs/>
          <w:color w:val="auto"/>
          <w:sz w:val="22"/>
          <w:szCs w:val="22"/>
          <w:highlight w:val="none"/>
        </w:rPr>
        <w:t>（四）</w:t>
      </w:r>
      <w:r>
        <w:rPr>
          <w:rFonts w:hint="eastAsia"/>
          <w:b/>
          <w:color w:val="auto"/>
          <w:sz w:val="22"/>
          <w:szCs w:val="22"/>
          <w:highlight w:val="none"/>
        </w:rPr>
        <w:t>展陈施工制作具体要求</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成交供应商需在展览项目开展前及时与采购人协商概念设计及深化设计图纸，组织施工制作布展施工，并无条件地接受采购人及采购人委托的监理工程师（如有）对施工质量的监督和管理。</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成交供应商须按采购人管理人员的要求按时递交各类报表。</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成交供应商在开工之前和施工期间做好安全文明标准化管理，要求在响应文件中阐述有关施工方案和管理措施，并做出相应承诺，确保场内外道路清洁畅通，确保人员、施工安全。因成交供应商任意堆放、排放废水废油或弃置施工废弃物造成妨碍公共交通、影响城镇居民生活、危及居民安全、破坏周边环境等后果，成交供应商承担一切责任和费用，并向采购人支付合同价款千分之五的违约金；</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成交供应商应对工地所有作业和施工方法适当性、可靠性及安全性负责。</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施工期间成交供应商须对本工程的及其不能影响到的其他专业工程和现场采取必要的措施进行加固、维护、安全防护和损毁修复。</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如成交供应商所雇用的工人在施工过程中发生事故，对于这类事故的赔偿费用，采购人均不予承担，且采购人不负担涉及这类事故有关的诉讼、损害赔偿、诉讼费、赔偿费及其它费用。</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工程竣工移交前，成交供应商负责对已完工程成品采取必要的措施进行维护，使其免于损毁或破坏。如出现损毁或破坏，成交供应商须及时进行修复并承担由此发生的一切费用。</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在施工过程中，各施工阶段所投入的各类机械设备数量、规格及型号应与响应文件中所列的各类机械设备数量、规格及型号一致，如在实际施工过程中，响应文件中所列机械设备不能满足施工需要的，成交供应商应无条件予以更换或增加；如需减少机械设备的，须报采购人和现场监理（如有）核实批准后，方可减少。否则，由此造成的工期延误和费用的增加均由成交供应商承担。</w:t>
      </w:r>
    </w:p>
    <w:p>
      <w:pPr>
        <w:numPr>
          <w:ilvl w:val="0"/>
          <w:numId w:val="14"/>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项目实施完成后，供应商必须实施一次空气污染治理并确保室内空气检测达标。</w:t>
      </w:r>
    </w:p>
    <w:p>
      <w:pPr>
        <w:numPr>
          <w:ilvl w:val="0"/>
          <w:numId w:val="14"/>
        </w:numPr>
        <w:spacing w:after="0" w:line="360" w:lineRule="exact"/>
        <w:rPr>
          <w:rFonts w:ascii="宋体" w:hAnsi="宋体" w:cs="宋体"/>
          <w:b/>
          <w:bCs/>
          <w:color w:val="auto"/>
          <w:sz w:val="22"/>
          <w:szCs w:val="22"/>
          <w:highlight w:val="none"/>
        </w:rPr>
      </w:pPr>
      <w:r>
        <w:rPr>
          <w:rFonts w:hint="eastAsia" w:ascii="宋体" w:hAnsi="宋体" w:cs="宋体"/>
          <w:color w:val="auto"/>
          <w:sz w:val="22"/>
          <w:szCs w:val="22"/>
          <w:highlight w:val="none"/>
        </w:rPr>
        <w:t>质量要求：合格</w:t>
      </w:r>
    </w:p>
    <w:p>
      <w:pPr>
        <w:pStyle w:val="7"/>
        <w:adjustRightInd w:val="0"/>
        <w:snapToGrid w:val="0"/>
        <w:spacing w:before="0"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（五）主要材料（设备）参数及品牌参考表</w:t>
      </w:r>
    </w:p>
    <w:tbl>
      <w:tblPr>
        <w:tblStyle w:val="33"/>
        <w:tblW w:w="9681"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494"/>
        <w:gridCol w:w="2681"/>
        <w:gridCol w:w="5018"/>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88" w:type="dxa"/>
            <w:tcBorders>
              <w:top w:val="double" w:color="auto" w:sz="2" w:space="0"/>
              <w:left w:val="double" w:color="auto" w:sz="2" w:space="0"/>
              <w:bottom w:val="single" w:color="auto" w:sz="4" w:space="0"/>
              <w:right w:val="single" w:color="auto" w:sz="4" w:space="0"/>
            </w:tcBorders>
            <w:vAlign w:val="center"/>
          </w:tcPr>
          <w:p>
            <w:pPr>
              <w:widowControl/>
              <w:adjustRightInd w:val="0"/>
              <w:snapToGrid w:val="0"/>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494" w:type="dxa"/>
            <w:tcBorders>
              <w:top w:val="double" w:color="auto" w:sz="2"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材料（设备）名称</w:t>
            </w:r>
          </w:p>
        </w:tc>
        <w:tc>
          <w:tcPr>
            <w:tcW w:w="2681" w:type="dxa"/>
            <w:tcBorders>
              <w:top w:val="double" w:color="auto" w:sz="2"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参考品牌</w:t>
            </w:r>
            <w:r>
              <w:rPr>
                <w:rFonts w:hint="eastAsia" w:ascii="宋体" w:hAnsi="宋体" w:cs="宋体"/>
                <w:color w:val="auto"/>
                <w:sz w:val="22"/>
                <w:szCs w:val="22"/>
                <w:highlight w:val="none"/>
                <w:lang w:val="zh-CN"/>
              </w:rPr>
              <w:t>（参照或相当于）</w:t>
            </w:r>
          </w:p>
        </w:tc>
        <w:tc>
          <w:tcPr>
            <w:tcW w:w="5018" w:type="dxa"/>
            <w:tcBorders>
              <w:top w:val="double" w:color="auto" w:sz="2"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规格及技术参数</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石膏板厚</w:t>
            </w:r>
          </w:p>
        </w:tc>
        <w:tc>
          <w:tcPr>
            <w:tcW w:w="26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泰山牌/派思特/龙牌</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9.5mm、12mm</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轻钢龙骨</w:t>
            </w:r>
          </w:p>
        </w:tc>
        <w:tc>
          <w:tcPr>
            <w:tcW w:w="26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港星/绿建/龙牌</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U75、U50</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木工板</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千年舟/兔宝宝/莫干山</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9、12、15mm</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2.5mm厚饰面板</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千年舟/兔宝宝/莫干山</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1.2-1.8mm木饰面</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千年舟/兔宝宝/莫干山</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免漆板</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千年舟/兔宝宝</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油漆、乳胶漆</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立邦/嘉宝莉/三棵树</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多层实木护墙板</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雅博利/尺木造/卡诺亚</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大理石</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爱马仕/蒂诺/宝丽</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微水泥</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华润/本杰明/芬琳漆</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瓷砖</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东鹏/亚细亚/诺贝尔</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地毯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耐辉顿/宜乐舒/红叶</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铝板/铝单板/冲孔铝板</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上海吉祥/红美达/南海汇名</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铝方管</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上海吉祥/红美达/南海汇名</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素水泥板</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泰山牌/派思特/龙牌</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墙布硬包/壁布</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欧雅/格莱美/瑞宝</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电线</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网牌/温州二厂/上海人民电线</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开关</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泰力/德力士/正泰</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插座</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泰力/德力士/正泰</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给水管</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中财/伟星/日丰</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排水管</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中财/伟星/日丰</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金属配件</w:t>
            </w:r>
          </w:p>
        </w:tc>
        <w:tc>
          <w:tcPr>
            <w:tcW w:w="26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顶固/索菲亚/三星</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23</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水龙头及金属配件</w:t>
            </w:r>
          </w:p>
        </w:tc>
        <w:tc>
          <w:tcPr>
            <w:tcW w:w="26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四季沐歌/九牧/苏泊尔</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24</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定制门</w:t>
            </w:r>
          </w:p>
        </w:tc>
        <w:tc>
          <w:tcPr>
            <w:tcW w:w="26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美心/圣诺熊/索菲亚</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户内箱元器件</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正泰/德力西/人民电器</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JDG电线管</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正通、鹏创、盛宝</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27</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配电箱(成套厂家)</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鼎高、国耀、正泰</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28</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弱电线缆（超六类）</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康普、安普、西蒙</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29</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桥架</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江苏/世发长胜；乐清/中建、镇江/龙威</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30</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洁具</w:t>
            </w:r>
          </w:p>
        </w:tc>
        <w:tc>
          <w:tcPr>
            <w:tcW w:w="26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TOTO/恒洁/箭牌</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含洗脸池、智能坐便器等</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门窗、柜门五金配件</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广东坚郎/顶固/天宇</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rPr>
              <w:t>铜质五金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导轨</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雷士/三雄/飞利浦</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三线导轨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展陈照明灯具</w:t>
            </w:r>
          </w:p>
        </w:tc>
        <w:tc>
          <w:tcPr>
            <w:tcW w:w="2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雷士/三雄/飞利浦</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射灯参数：显指:&gt;Ra90功率；24W材质；铝材电压/PF:220V/PF0.5光效:90LM/W光束度:32°或48°芯片:美国普瑞色温:2700-4000K；</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34</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艺术吊灯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结合民国建筑空间自行设计、选购</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35</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基础照明灯具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雷士/三雄/飞利浦</w:t>
            </w: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灯具参数：显指：&gt;Ra90；材质；铝材；光效:90LM/W；芯片:美国普瑞；色温:2700-4000K；</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488" w:type="dxa"/>
            <w:tcBorders>
              <w:top w:val="single" w:color="auto" w:sz="4" w:space="0"/>
              <w:left w:val="double" w:color="auto" w:sz="2"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36</w:t>
            </w:r>
          </w:p>
        </w:tc>
        <w:tc>
          <w:tcPr>
            <w:tcW w:w="14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中央空调</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color w:val="auto"/>
                <w:sz w:val="22"/>
                <w:szCs w:val="22"/>
                <w:highlight w:val="none"/>
              </w:rPr>
            </w:pPr>
          </w:p>
        </w:tc>
        <w:tc>
          <w:tcPr>
            <w:tcW w:w="5018" w:type="dxa"/>
            <w:tcBorders>
              <w:top w:val="single" w:color="auto" w:sz="4" w:space="0"/>
              <w:left w:val="single" w:color="auto" w:sz="4" w:space="0"/>
              <w:bottom w:val="single" w:color="auto" w:sz="4" w:space="0"/>
              <w:right w:val="double" w:color="auto" w:sz="2" w:space="0"/>
            </w:tcBorders>
            <w:vAlign w:val="center"/>
          </w:tcPr>
          <w:p>
            <w:pPr>
              <w:widowControl/>
              <w:adjustRightInd w:val="0"/>
              <w:snapToGrid w:val="0"/>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高效环保制冷剂，高效涡旋压缩机：SmartShift技术，静音运转，可靠除霜：双层铜管、铝波纹翅片盘管；全封闭、永久润滑的冷凝器电机：双流向液管干燥器；吸气管侧配有储液罐；压缩机曲轴箱加热器；高功率消音器；高低压开关；铜管焊接简易检修端口；直驱多速风扇电机；总送风量3400m³/H，人均新风量≥30m³/（H·人）风速2-2.5m/S。制冷量／制热量：16.33kw/16.53kw，总32660w</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1" w:type="dxa"/>
            <w:gridSpan w:val="4"/>
            <w:tcBorders>
              <w:top w:val="single" w:color="auto" w:sz="4" w:space="0"/>
              <w:left w:val="double" w:color="auto" w:sz="2" w:space="0"/>
              <w:bottom w:val="single" w:color="auto" w:sz="4" w:space="0"/>
              <w:right w:val="double" w:color="auto" w:sz="2" w:space="0"/>
            </w:tcBorders>
            <w:vAlign w:val="center"/>
          </w:tcPr>
          <w:p>
            <w:pPr>
              <w:widowControl/>
              <w:adjustRightInd w:val="0"/>
              <w:snapToGrid w:val="0"/>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说明：</w:t>
            </w:r>
          </w:p>
          <w:p>
            <w:pPr>
              <w:widowControl/>
              <w:adjustRightInd w:val="0"/>
              <w:snapToGrid w:val="0"/>
              <w:spacing w:after="0"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1.供应商投标的产品品牌档次应参照或相当于以上参考品牌的档次。 </w:t>
            </w:r>
          </w:p>
          <w:p>
            <w:pPr>
              <w:widowControl/>
              <w:adjustRightInd w:val="0"/>
              <w:snapToGrid w:val="0"/>
              <w:spacing w:after="0"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2．供应商在响应文件中明确其所选品牌，且只能填一个，写明所选的生产厂或品牌、规格型号及技术参数。</w:t>
            </w:r>
          </w:p>
          <w:p>
            <w:pPr>
              <w:widowControl/>
              <w:adjustRightInd w:val="0"/>
              <w:snapToGrid w:val="0"/>
              <w:spacing w:after="0"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3.本项目所用材料供应商必须按国家有关标准和施工图纸要求采购，采购前应先提交其样品（质量等级、规格、颜色等）经监理工程师（如有）、设计师、使用方代表等在主材报备单上签字确定后方可采购使用。</w:t>
            </w:r>
          </w:p>
          <w:p>
            <w:pPr>
              <w:widowControl/>
              <w:adjustRightInd w:val="0"/>
              <w:snapToGrid w:val="0"/>
              <w:spacing w:after="0"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4．本项目所有的装修用板材的环保等级要求为国家标准的E1级，乳胶漆等其他装修用材料的环保等级必须符合可以直接在室内使用的国家标准要求。</w:t>
            </w:r>
          </w:p>
          <w:p>
            <w:pPr>
              <w:widowControl/>
              <w:adjustRightInd w:val="0"/>
              <w:snapToGrid w:val="0"/>
              <w:spacing w:after="0"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5．本项目所有的石材在预算阶段由供应商提供样品，供应商在工程实施过程中应根据样品报价、供货和铺设。</w:t>
            </w:r>
          </w:p>
        </w:tc>
      </w:tr>
    </w:tbl>
    <w:p>
      <w:pPr>
        <w:adjustRightInd w:val="0"/>
        <w:snapToGrid w:val="0"/>
        <w:spacing w:after="0" w:line="360" w:lineRule="exact"/>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（六）本项目采购人仅提供部分工程量清单（附后），其他供应商应根据本项目采购需求，进行深化设计，自行按2013版国标清单、《浙江省建设工程计价规则》（2018版）及相应文件编制投标工程量清单。</w:t>
      </w:r>
    </w:p>
    <w:p>
      <w:pPr>
        <w:pStyle w:val="2"/>
        <w:ind w:firstLine="0" w:firstLineChars="0"/>
        <w:rPr>
          <w:color w:val="auto"/>
          <w:highlight w:val="none"/>
        </w:rPr>
      </w:pPr>
      <w:r>
        <w:rPr>
          <w:rFonts w:hint="eastAsia" w:ascii="宋体" w:hAnsi="宋体" w:cs="宋体"/>
          <w:b/>
          <w:bCs/>
          <w:color w:val="auto"/>
          <w:kern w:val="0"/>
          <w:sz w:val="22"/>
          <w:szCs w:val="22"/>
          <w:highlight w:val="none"/>
          <w:lang w:bidi="ar"/>
        </w:rPr>
        <w:t>1.展陈内容材料清单</w:t>
      </w:r>
    </w:p>
    <w:tbl>
      <w:tblPr>
        <w:tblStyle w:val="33"/>
        <w:tblW w:w="9700" w:type="dxa"/>
        <w:jc w:val="center"/>
        <w:tblLayout w:type="fixed"/>
        <w:tblCellMar>
          <w:top w:w="0" w:type="dxa"/>
          <w:left w:w="108" w:type="dxa"/>
          <w:bottom w:w="0" w:type="dxa"/>
          <w:right w:w="108" w:type="dxa"/>
        </w:tblCellMar>
      </w:tblPr>
      <w:tblGrid>
        <w:gridCol w:w="700"/>
        <w:gridCol w:w="2183"/>
        <w:gridCol w:w="734"/>
        <w:gridCol w:w="1063"/>
        <w:gridCol w:w="3017"/>
        <w:gridCol w:w="2003"/>
      </w:tblGrid>
      <w:tr>
        <w:tblPrEx>
          <w:tblCellMar>
            <w:top w:w="0" w:type="dxa"/>
            <w:left w:w="108" w:type="dxa"/>
            <w:bottom w:w="0" w:type="dxa"/>
            <w:right w:w="108" w:type="dxa"/>
          </w:tblCellMar>
        </w:tblPrEx>
        <w:trPr>
          <w:trHeight w:val="283" w:hRule="atLeast"/>
          <w:tblHeader/>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编号</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展陈内容</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单位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数量</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要求</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备注</w:t>
            </w: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门台牌匾</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实木板刻字</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展示字画</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高仿宣纸印刷镜框展陈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不能直接印刷</w:t>
            </w: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通易信托公司证券部章程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高仿宣纸印刷镜框展陈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上海通易信托公司股票</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高仿宣纸印刷镜框展陈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《敬乡楼丛书》</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实物丛书套装</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木刻对联</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书法装裱/实木板刻字</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数量结合设计实际可调整</w:t>
            </w: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油画肖像画</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油画创作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尺寸结合设计实际</w:t>
            </w: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信札</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高仿宣纸印刷镜框展陈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民国装饰物件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若干套</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以实物形式展示</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年代真实物件</w:t>
            </w: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信件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宣纸印刷，镜框陈列</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瓯海医院碑记拓片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朱拓，镜框展陈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老照片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张</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若干张</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照片打印，镜框陈列</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拓制溯初亭</w:t>
            </w:r>
            <w:r>
              <w:rPr>
                <w:rFonts w:hint="eastAsia" w:ascii="宋体" w:hAnsi="宋体" w:cs="宋体"/>
                <w:color w:val="auto"/>
                <w:kern w:val="0"/>
                <w:sz w:val="22"/>
                <w:szCs w:val="22"/>
                <w:highlight w:val="none"/>
                <w:lang w:bidi="ar"/>
              </w:rPr>
              <w:t>记</w:t>
            </w:r>
            <w:r>
              <w:rPr>
                <w:rFonts w:ascii="宋体" w:hAnsi="宋体" w:cs="宋体"/>
                <w:color w:val="auto"/>
                <w:kern w:val="0"/>
                <w:sz w:val="22"/>
                <w:szCs w:val="22"/>
                <w:highlight w:val="none"/>
                <w:lang w:bidi="ar"/>
              </w:rPr>
              <w:t>、行</w:t>
            </w:r>
            <w:r>
              <w:rPr>
                <w:rFonts w:hint="eastAsia" w:ascii="宋体" w:hAnsi="宋体" w:cs="宋体"/>
                <w:color w:val="auto"/>
                <w:kern w:val="0"/>
                <w:sz w:val="22"/>
                <w:szCs w:val="22"/>
                <w:highlight w:val="none"/>
                <w:lang w:bidi="ar"/>
              </w:rPr>
              <w:t>乐图两块</w:t>
            </w:r>
            <w:r>
              <w:rPr>
                <w:rFonts w:ascii="宋体" w:hAnsi="宋体" w:cs="宋体"/>
                <w:color w:val="auto"/>
                <w:kern w:val="0"/>
                <w:sz w:val="22"/>
                <w:szCs w:val="22"/>
                <w:highlight w:val="none"/>
                <w:lang w:bidi="ar"/>
              </w:rPr>
              <w:t>碑刻拓片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敬</w:t>
            </w:r>
            <w:r>
              <w:rPr>
                <w:rFonts w:hint="eastAsia" w:ascii="宋体" w:hAnsi="宋体" w:cs="宋体"/>
                <w:color w:val="auto"/>
                <w:kern w:val="0"/>
                <w:sz w:val="22"/>
                <w:szCs w:val="22"/>
                <w:highlight w:val="none"/>
                <w:lang w:bidi="ar"/>
              </w:rPr>
              <w:t>乡楼</w:t>
            </w:r>
            <w:r>
              <w:rPr>
                <w:rFonts w:ascii="宋体" w:hAnsi="宋体" w:cs="宋体"/>
                <w:color w:val="auto"/>
                <w:kern w:val="0"/>
                <w:sz w:val="22"/>
                <w:szCs w:val="22"/>
                <w:highlight w:val="none"/>
                <w:lang w:bidi="ar"/>
              </w:rPr>
              <w:t>等</w:t>
            </w:r>
            <w:r>
              <w:rPr>
                <w:rFonts w:hint="eastAsia" w:ascii="宋体" w:hAnsi="宋体" w:cs="宋体"/>
                <w:color w:val="auto"/>
                <w:kern w:val="0"/>
                <w:sz w:val="22"/>
                <w:szCs w:val="22"/>
                <w:highlight w:val="none"/>
                <w:lang w:bidi="ar"/>
              </w:rPr>
              <w:t>厅</w:t>
            </w:r>
            <w:r>
              <w:rPr>
                <w:rFonts w:ascii="宋体" w:hAnsi="宋体" w:cs="宋体"/>
                <w:color w:val="auto"/>
                <w:kern w:val="0"/>
                <w:sz w:val="22"/>
                <w:szCs w:val="22"/>
                <w:highlight w:val="none"/>
                <w:lang w:bidi="ar"/>
              </w:rPr>
              <w:t>堂匾</w:t>
            </w:r>
            <w:r>
              <w:rPr>
                <w:rFonts w:hint="eastAsia" w:ascii="宋体" w:hAnsi="宋体" w:cs="宋体"/>
                <w:color w:val="auto"/>
                <w:kern w:val="0"/>
                <w:sz w:val="22"/>
                <w:szCs w:val="22"/>
                <w:highlight w:val="none"/>
                <w:lang w:bidi="ar"/>
              </w:rPr>
              <w:t>额</w:t>
            </w: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块</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木质</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郑曼青画赠刘景晨《水仙图》</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幅</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高仿宣纸印刷，镜框展陈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诗札</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3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高仿宣纸印刷，镜框展陈</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《松台别业重建碑记》</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材质结合实际方案确定</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展馆导视系统</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结合风格进行自行创作</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文字展陈</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覆盖整个展馆内部；要求真沉设计结合标书要求展开，涵盖策展文本内容</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2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2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门台牌匾</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块</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实木板刻字</w:t>
            </w:r>
          </w:p>
        </w:tc>
        <w:tc>
          <w:tcPr>
            <w:tcW w:w="2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jc w:val="center"/>
              <w:rPr>
                <w:rFonts w:ascii="宋体" w:hAnsi="宋体" w:cs="宋体"/>
                <w:color w:val="auto"/>
                <w:sz w:val="22"/>
                <w:szCs w:val="22"/>
                <w:highlight w:val="none"/>
              </w:rPr>
            </w:pPr>
          </w:p>
        </w:tc>
      </w:tr>
    </w:tbl>
    <w:p>
      <w:pPr>
        <w:widowControl/>
        <w:spacing w:after="0"/>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2.松台别业改造项目部分工程量及工艺要求清单</w:t>
      </w:r>
    </w:p>
    <w:tbl>
      <w:tblPr>
        <w:tblStyle w:val="33"/>
        <w:tblW w:w="958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2430"/>
        <w:gridCol w:w="1067"/>
        <w:gridCol w:w="980"/>
        <w:gridCol w:w="4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blHeader/>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工程项目</w:t>
            </w:r>
          </w:p>
        </w:tc>
        <w:tc>
          <w:tcPr>
            <w:tcW w:w="1067" w:type="dxa"/>
            <w:tcBorders>
              <w:tl2br w:val="nil"/>
              <w:tr2bl w:val="nil"/>
            </w:tcBorders>
            <w:shd w:val="clear" w:color="auto" w:fill="auto"/>
            <w:noWrap/>
            <w:textDirection w:val="tbRlV"/>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工程量</w:t>
            </w:r>
          </w:p>
        </w:tc>
        <w:tc>
          <w:tcPr>
            <w:tcW w:w="4337"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196" w:type="dxa"/>
            <w:gridSpan w:val="2"/>
            <w:tcBorders>
              <w:tl2br w:val="nil"/>
              <w:tr2bl w:val="nil"/>
            </w:tcBorders>
            <w:shd w:val="clear" w:color="auto" w:fill="auto"/>
            <w:noWrap/>
            <w:vAlign w:val="center"/>
          </w:tcPr>
          <w:p>
            <w:pPr>
              <w:widowControl/>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 xml:space="preserve">  【一、基础改造】</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1-101</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新建120厚红砖墙体</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99</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1.红砖 2.水泥河沙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1-102</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楼梯地台改造</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1.砌体填充地面太高150mm 2.水泥砂浆冲平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1-103</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地面大理石走边410mm宽</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1.黑金花大理石 2.辅料水泥河沙胶泥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1-104</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一楼地面地砖</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132</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1.瓷砖块料铺贴样板选样 2.辅料水泥河沙胶泥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1-105</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二楼地面冲平</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128</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1.水泥砂浆地面找平50MM厚 2.人工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1-106</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二楼地面贴砖</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1.瓷砖块料铺贴样板选样 2.辅料水泥河沙胶泥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1-107</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二楼铺多层强化地板</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128</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1.多层强化地板 2.样板选样复古工艺3.防潮地垫铺设4.人工辅料安装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1-108</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实木楼梯踏步</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1.定制实木踏步 2.30mm厚度 3.混油擦色 4.人工安装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1-109</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实木楼梯扶手</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1.复古工艺实木扶手 2.柱头雕花工艺 3.混油擦色 4.人工安装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1-110</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成品木质踢脚线</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122</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1.实木踢脚线定制 2.高度180-220mm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1-111</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阳台地面水泥砖铺设</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1.瓷砖块料铺贴样板选样 2.辅料水泥河沙胶泥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1-112</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大理石门槛</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1.黑金花大理石 2.辅料水泥河沙胶泥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地面工程小计</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1-113</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墙面防火板基层</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434.5</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1.九厘阻燃夹板基础 2.人工安装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1-114</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接待台防火板基础</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1.15厘免漆板饰面；2.定制烤漆饰面；3.黑金花大理石台面安装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1-115</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墙面防水处理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1.防水卷材处理高度1800mm;2.砂浆保护层；3.人工辅材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1-116</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墙面贴砖</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1.瓷砖块料铺贴样板选样 2.辅料水泥河沙胶泥 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1-117</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墙面防潮处理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434</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1.欧松板开条；2.墙面防潮垫铺设满铺；3.人工安装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1-118</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墙面灯槽</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1.九厘阻燃夹板基础 2.面封石膏板；3.人工辅料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1-119</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门套基层、窗套基层</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1.欧松板打底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墙面工程小计</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1-120</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吊顶轻钢龙骨防火木工板基层</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483</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1.轻钢龙骨基层 中距竖500mm横1200mm以内；2.单面9mm防火板基层；3.单面9.5mm石膏板基层</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4.板缝贴胶带、点锈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1-121</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吊顶有色乳胶漆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483</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1.石膏板面腻子两道；2.白色无机涂料二道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1-122</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灯槽</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1.九厘阻燃夹板基础 2.面封石膏板；3.人工辅料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吊顶工程小计</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1-123</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强电电路敷设</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1.砖、混凝土结构暗配KBG管 公称直径（mm）20；2.穿照明线 ZR-BV-2.5；3.穿动力线穿照明线 ZR-BV-4；4.配电箱配空气开关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1-124</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防炫目LED筒灯</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防炫目筒灯（品牌详见材料清单）色温3500K-4500k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1-125</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防炫目射灯</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98</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防炫目射灯（品牌详见材料清单）色温3500K-4500k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1-126</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LED线性灯</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10-15mm嵌入式线型灯;色温3500K-4500k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1-127</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开关插座</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安装工程小计</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1-128</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脚手架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脚手架费用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1-129</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材料搬运费</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材料搬运人工费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1-130</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成品保护费</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墙地面成品保护措施费用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1-132</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现场清理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施工现场垃圾清理费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1-133</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完工垃圾外运及消纳</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建筑垃圾外运处理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1-134</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施工完毕后场地保洁清洗</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m2</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竣工现场开荒保洁，展陈布置完成后保洁清理，家具布置完成后精细保洁；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1-135</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灯具</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26.00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金属+水晶玻璃++实木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1-136</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洁具采购</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卫浴洁具五金配件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1-137</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技术措施</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196" w:type="dxa"/>
            <w:gridSpan w:val="2"/>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w:t>
            </w:r>
            <w:r>
              <w:rPr>
                <w:rFonts w:hint="eastAsia" w:ascii="宋体" w:hAnsi="宋体" w:cs="宋体"/>
                <w:b/>
                <w:bCs/>
                <w:color w:val="auto"/>
                <w:kern w:val="0"/>
                <w:sz w:val="22"/>
                <w:szCs w:val="22"/>
                <w:highlight w:val="none"/>
                <w:lang w:bidi="ar"/>
              </w:rPr>
              <w:t>【二、暖通工程】</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2-201</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空调器</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全直流变频室外机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2-202</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风机盘管</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5P，冷量符合空间标准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2-203</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线控器</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配置中央空调控制器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2-204</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紫铜管（含橡塑保温）、配件、电缆</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紫铜管（含橡塑保温）、配件、电缆、制冷剂R410A、出风口/回风口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2-205</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送风口、回风口</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定制风口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2-206</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风管材料</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定制风管预埋安装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2-207</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人工安装费</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设备安装人工费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196" w:type="dxa"/>
            <w:gridSpan w:val="2"/>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w:t>
            </w:r>
            <w:r>
              <w:rPr>
                <w:rFonts w:hint="eastAsia" w:ascii="宋体" w:hAnsi="宋体" w:cs="宋体"/>
                <w:b/>
                <w:bCs/>
                <w:color w:val="auto"/>
                <w:kern w:val="0"/>
                <w:sz w:val="22"/>
                <w:szCs w:val="22"/>
                <w:highlight w:val="none"/>
                <w:lang w:bidi="ar"/>
              </w:rPr>
              <w:t>【三、消防工程】</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3-301</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水喷淋钢管改造</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156</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镀锌钢管(螺纹连接) DN25 1、新管道安装；2、配件采购；3、压力试验；消毒、冲洗；4、新喷淋头安装（49个）；5、零星材料采购；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3-302</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末端试水装置</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末端试水更换位置 1、将原有管道拆除封堵；2、增加新的末端水出口点；3、接75PVC管道接出室外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3-303</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螺纹阀门</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压力表DN、25铜球阀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3-304</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点型探测器</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1、烟感探测器；2、探测器底座；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3-305</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配管</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144</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1.砖、混凝土结构明配JDG管 公称直径（mm）20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3-306</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配线</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1.穿照明线 ZR-BVR-2.5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3-307</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配线</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1.穿照明线 ZR-BVR-2.5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3-308</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装饰灯</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应急灯，疏散指示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3-309</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消防广播(扬声器）</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喇叭 120V 3W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196" w:type="dxa"/>
            <w:gridSpan w:val="2"/>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w:t>
            </w:r>
            <w:r>
              <w:rPr>
                <w:rFonts w:hint="eastAsia" w:ascii="宋体" w:hAnsi="宋体" w:cs="宋体"/>
                <w:b/>
                <w:bCs/>
                <w:color w:val="auto"/>
                <w:kern w:val="0"/>
                <w:sz w:val="22"/>
                <w:szCs w:val="22"/>
                <w:highlight w:val="none"/>
                <w:lang w:bidi="ar"/>
              </w:rPr>
              <w:t>【四、展陈工程】</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4-401</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A-01展陈基础定制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21.75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4-402</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A-02展陈基础定制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33.35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4-403</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A-03展陈基础定制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28.56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4-404</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A-04展陈基础定制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27.44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4-405</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A-05展陈基础定制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20.72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4-406</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A-06展陈基础定制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32.76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4-407</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B-01展陈基础定制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35.70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4-408</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B-02展陈基础定制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36.15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4-409</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B-03展陈基础定制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25.90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4-410</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B-04展陈基础定制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25.90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4-411</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B-05展陈基础定制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45.00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4-412</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B-06展陈基础定制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15.75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多层实木烤漆展板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4-413</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接待台定制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6.00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烤漆定制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4-414</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装饰柜定制</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8.40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烤漆书柜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4-415</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入口背景墙</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烤漆精工字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4-416</w:t>
            </w:r>
          </w:p>
        </w:tc>
        <w:tc>
          <w:tcPr>
            <w:tcW w:w="2430"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开篇语</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8.00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烤漆精工字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4-417</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第一部分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33.60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精工字、发光字、美工字、灯箱、画面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4-418</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第二部分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43.12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精工字、发光字、美工字、灯箱、画面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4-419</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第三部分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47.60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精工字、发光字、美工字、灯箱、画面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4-420</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第四部分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77.00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精工字、发光字、美工字、灯箱、画面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4-421</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第五部分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23.80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烤漆精工字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4-422</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第六部分</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39.90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烤漆精工字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4-423</w:t>
            </w:r>
          </w:p>
        </w:tc>
        <w:tc>
          <w:tcPr>
            <w:tcW w:w="2430"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黄溯初油画创作</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1.00 </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根据实际场景创作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4-424</w:t>
            </w:r>
          </w:p>
        </w:tc>
        <w:tc>
          <w:tcPr>
            <w:tcW w:w="2430"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艺术装置</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11.73 </w:t>
            </w:r>
          </w:p>
        </w:tc>
        <w:tc>
          <w:tcPr>
            <w:tcW w:w="4337"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1.2mm镀锌板切割焊接造型烤漆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4-425</w:t>
            </w:r>
          </w:p>
        </w:tc>
        <w:tc>
          <w:tcPr>
            <w:tcW w:w="2430"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博物馆级玻璃展柜</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m</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22.00 </w:t>
            </w:r>
          </w:p>
        </w:tc>
        <w:tc>
          <w:tcPr>
            <w:tcW w:w="4337"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博物馆级玻璃展柜（8组合计22米）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4-426</w:t>
            </w:r>
          </w:p>
        </w:tc>
        <w:tc>
          <w:tcPr>
            <w:tcW w:w="2430"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吊轨屏风定制</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19.50 </w:t>
            </w:r>
          </w:p>
        </w:tc>
        <w:tc>
          <w:tcPr>
            <w:tcW w:w="4337"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移动屏风隔断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4-427</w:t>
            </w:r>
          </w:p>
        </w:tc>
        <w:tc>
          <w:tcPr>
            <w:tcW w:w="2430"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高仿作品制作</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副</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10.00 </w:t>
            </w:r>
          </w:p>
        </w:tc>
        <w:tc>
          <w:tcPr>
            <w:tcW w:w="4337"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高仿名家字画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196" w:type="dxa"/>
            <w:gridSpan w:val="2"/>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w:t>
            </w:r>
            <w:r>
              <w:rPr>
                <w:rFonts w:hint="eastAsia" w:ascii="宋体" w:hAnsi="宋体" w:cs="宋体"/>
                <w:b/>
                <w:bCs/>
                <w:color w:val="auto"/>
                <w:kern w:val="0"/>
                <w:sz w:val="22"/>
                <w:szCs w:val="22"/>
                <w:highlight w:val="none"/>
                <w:lang w:bidi="ar"/>
              </w:rPr>
              <w:t>【五、电子化设备】</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5-501</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激光电视</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tcPr>
          <w:p>
            <w:pPr>
              <w:widowControl/>
              <w:jc w:val="left"/>
              <w:textAlignment w:val="top"/>
              <w:rPr>
                <w:rFonts w:ascii="宋体" w:hAnsi="宋体" w:cs="宋体"/>
                <w:color w:val="auto"/>
                <w:sz w:val="22"/>
                <w:szCs w:val="22"/>
                <w:highlight w:val="none"/>
              </w:rPr>
            </w:pPr>
            <w:r>
              <w:rPr>
                <w:rFonts w:hint="eastAsia" w:ascii="宋体" w:hAnsi="宋体" w:cs="宋体"/>
                <w:color w:val="auto"/>
                <w:sz w:val="22"/>
                <w:szCs w:val="22"/>
                <w:highlight w:val="none"/>
              </w:rPr>
              <w:t>DLP显示技术，芯片尺寸0.48英寸分辨率：≥1920×1200光源：ALPD激光光源，光源寿命≥20000小时亮度：≥5300ANSI流明对比度：≥100，000：亮度均匀性：≥85%镜头：超短焦反射式镜头，投射比0.25：1信号接口：输入：HDMI1.4*2，RGB*2(RGB IN 2 Share with RGBOut)Video(RCA)*1Audioin(L/R)--RCA*1，Audio in(mini jack，3.5mm)*1，MIC *1；输出：RGB*1，Audio out(mini-jack，3.5mm)*1，色域：≥REC.709功耗：功耗≤430W，待机功耗≤0.5W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5-502</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支架</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副</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tcPr>
          <w:p>
            <w:pPr>
              <w:widowControl/>
              <w:jc w:val="left"/>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壁挂超短焦投影机仪支架、伸缩600-1200MM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5-503</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工程专用线缆</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条</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tcPr>
          <w:p>
            <w:pPr>
              <w:widowControl/>
              <w:jc w:val="left"/>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采用镀锡高纯度铜线芯，镀金插头与接头工艺抗氧化，防生锈耐拔插，视音频传输稳定，外被尼龙编织网带有三层金属网屏蔽，耐磨防刮花，强抗干扰双磁环，抗衰小低功耗传输快，适用多种标准HDMI接口设备，支持3D信号传输，音视频同步传送，即插即用，支持热插拔，无损信号向下兼容支持各种版本，20米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5-504</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辅料</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tcPr>
          <w:p>
            <w:pPr>
              <w:widowControl/>
              <w:jc w:val="left"/>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信号线/音响线/PVC管/线材/接头/五金配件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激光电视小计</w:t>
            </w:r>
          </w:p>
        </w:tc>
        <w:tc>
          <w:tcPr>
            <w:tcW w:w="1067" w:type="dxa"/>
            <w:tcBorders>
              <w:tl2br w:val="nil"/>
              <w:tr2bl w:val="nil"/>
            </w:tcBorders>
            <w:shd w:val="clear" w:color="auto" w:fill="auto"/>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5-505</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摄像机</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200万半球红外网络监控摄像机 POE</w:t>
            </w:r>
          </w:p>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多盘位网络16路NVR硬盘录像机4K高清H.265监控主机 监控专用硬盘  4TB。非管理机架式低功率PoE交换机，16个10/100Mbps自适应PoE电口，1组1000Mbps光电复用（Combo）上行口，1-2口单口最大PoE输出功率60w，3-16口单口最大PoE输出功率30w，整机最大PoE输出功率135w，交换容量：5.2Gbps；包转发率：3.87Mpps；支持端口隔离，支持250米远距离供电，支持PoE功耗管理策略，可适应终端设备的功耗波动；支持1-8口端口高优先级传输；工作温度：-10 ℃~+55 ℃；六类网线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5-506</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录像机</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多盘位网络16路NVR硬盘录像机4K高清H.265监控主机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5-507</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硬盘</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块</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监控专用硬盘  4TB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5-508</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POE交换机</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非管理机架式低功率PoE交换机，16个10/100Mbps自适应PoE电口，1组1000Mbps光电复用（Combo）上行口，1-2口单口最大PoE输出功率60w，3-16口单口最大PoE输出功率30w，整机最大PoE输出功率135w，交换容量：5.2Gbps；包转发率：3.87Mpps；支持端口隔离，支持250米远距离供电，支持PoE功耗管理策略，可适应终端设备的功耗波动；支持1-8口端口高优先级传输；工作温度：-10 ℃~+55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5-509</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网线</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六类网线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5-510</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PVC管材</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PVC管材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5-511</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监示器</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5-512</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无线键鼠</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无线键盘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5-513</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辅料</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六类网线、视频线等及其配件、五金配件。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监控小计</w:t>
            </w:r>
          </w:p>
        </w:tc>
        <w:tc>
          <w:tcPr>
            <w:tcW w:w="1067" w:type="dxa"/>
            <w:tcBorders>
              <w:tl2br w:val="nil"/>
              <w:tr2bl w:val="nil"/>
            </w:tcBorders>
            <w:shd w:val="clear" w:color="auto" w:fill="auto"/>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5-514</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主网关</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tcPr>
          <w:p>
            <w:pPr>
              <w:widowControl/>
              <w:jc w:val="left"/>
              <w:textAlignment w:val="top"/>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口全千兆PoE—体化路由器。终端带机量100台，最大支持1000Mbps带宽。整机带5个千兆以太网口，其中固化1个WAN口，1个LAN/WAN可切换口，固化3个LAN口，最大支持2个WAN口。整机最大PoE输出60W，单端口最大输出30W。集成统一网络控制器功能，最大可管理32台；支持智能组网特性的EAP、RAP或网管交换机，以及128台以内的ES2xx系列智能交换机。支持应用识别、流量控制、VPN、PPPoE、认证、行为管理等丰富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5-515</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交换机</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4337"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交换容量：48Gbps，包转发率：36Mpps，24个10/100/1000Mbps电口。支持EWEB/APP/MACC管理。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5-516</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无线AP</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1200M双频吸顶AP，100Mbps网口上联，内置天线，支持2.4GHz/5GHz双频通信，支持802.11a/b/g/n/ac Wave1/Wave2协议，整机最大接入速率1167Mbps。支持AP与路由两种工作模式，支持睿易一体化组网，支持“睿易”APP管理。支持PoE供电和本地供电。(特殊说明：PoE供电设备和DC适配器需单独采购)，最大功率12.95W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5-517</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网线</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六类网线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5-518</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管材</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米</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PVC管材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5-519</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机柜</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2000MM*800MM*600MM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5-520</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辅料</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六类网线、视频线等及其配件、五金配件。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信息网络系统小计</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5-521</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音响</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6.5英寸 同轴定阻天花喇叭</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1.定阻8ohm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2.白色烤漆铝网</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3.6.5英寸PP鼓纸低音+20mm蚕丝旋转式高音</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4.功率80W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5.灵敏度 88dB±2dB</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6.最大外径：240mm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7.开孔直径：206mm 开孔厚度：76mm 公差：(+5mm，-0)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5-522</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功放</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1、一组音源输入，一路话筒输入。</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2、一组前置录音输出及A、B组功率输出。</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3、本机设置反馈、混响功能。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4、话筒、线路的音量，音调实现独立调节，带话筒中控接口。</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5、话筒插口自带+6V幻像直流电源。</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6、额定功率：立体声2×150W/8Ω </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 xml:space="preserve">7、频率响应：20Hz-50KHz  100dB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5-523</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辅料</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信号线/音响线/PVC管/线材/接头/五金配件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音响设备小计</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p>
        </w:tc>
        <w:tc>
          <w:tcPr>
            <w:tcW w:w="980" w:type="dxa"/>
            <w:tcBorders>
              <w:tl2br w:val="nil"/>
              <w:tr2bl w:val="nil"/>
            </w:tcBorders>
            <w:shd w:val="clear" w:color="auto" w:fill="auto"/>
            <w:vAlign w:val="center"/>
          </w:tcPr>
          <w:p>
            <w:pPr>
              <w:widowControl/>
              <w:jc w:val="center"/>
              <w:textAlignment w:val="center"/>
              <w:rPr>
                <w:rFonts w:ascii="宋体" w:hAnsi="宋体" w:cs="宋体"/>
                <w:color w:val="auto"/>
                <w:kern w:val="0"/>
                <w:sz w:val="22"/>
                <w:szCs w:val="22"/>
                <w:highlight w:val="none"/>
                <w:lang w:bidi="ar"/>
              </w:rPr>
            </w:pP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kern w:val="0"/>
                <w:sz w:val="22"/>
                <w:szCs w:val="22"/>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5-524</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门禁系统</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5嵌入式LINUX操作系统，4.3英寸触摸屏，200万像摄像头，支持户外防雨防晒，15万条事件记录量，IC/CPU卡，身份证序号识别，外部结构USB2.0*1设备电源DC12v/1A;支持远程操作；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5-525</w:t>
            </w:r>
          </w:p>
        </w:tc>
        <w:tc>
          <w:tcPr>
            <w:tcW w:w="2430"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电子壁炉</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套</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电子壁炉，白橡木实木，PU高端漆；装饰炉芯冷轧钢板+钢化玻璃+LED高仿真火壁炉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5-526</w:t>
            </w:r>
          </w:p>
        </w:tc>
        <w:tc>
          <w:tcPr>
            <w:tcW w:w="2430" w:type="dxa"/>
            <w:tcBorders>
              <w:tl2br w:val="nil"/>
              <w:tr2bl w:val="nil"/>
            </w:tcBorders>
            <w:shd w:val="clear" w:color="auto" w:fill="auto"/>
            <w:vAlign w:val="center"/>
          </w:tcPr>
          <w:p>
            <w:pPr>
              <w:widowControl/>
              <w:adjustRightInd w:val="0"/>
              <w:snapToGrid w:val="0"/>
              <w:spacing w:line="360" w:lineRule="exact"/>
              <w:jc w:val="center"/>
              <w:rPr>
                <w:rFonts w:ascii="宋体" w:hAnsi="宋体" w:cs="宋体"/>
                <w:color w:val="auto"/>
                <w:kern w:val="0"/>
                <w:sz w:val="22"/>
                <w:szCs w:val="22"/>
                <w:highlight w:val="none"/>
                <w:lang w:bidi="ar"/>
              </w:rPr>
            </w:pPr>
            <w:r>
              <w:rPr>
                <w:rFonts w:hint="eastAsia" w:ascii="宋体" w:hAnsi="宋体" w:cs="宋体"/>
                <w:color w:val="auto"/>
                <w:sz w:val="22"/>
                <w:szCs w:val="22"/>
                <w:highlight w:val="none"/>
              </w:rPr>
              <w:t>直饮水机</w:t>
            </w:r>
          </w:p>
        </w:tc>
        <w:tc>
          <w:tcPr>
            <w:tcW w:w="1067"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adjustRightInd w:val="0"/>
              <w:snapToGrid w:val="0"/>
              <w:spacing w:after="0" w:line="360" w:lineRule="exact"/>
              <w:jc w:val="left"/>
              <w:rPr>
                <w:rFonts w:ascii="宋体" w:hAnsi="宋体" w:cs="宋体"/>
                <w:color w:val="auto"/>
                <w:kern w:val="0"/>
                <w:sz w:val="22"/>
                <w:szCs w:val="22"/>
                <w:highlight w:val="none"/>
                <w:lang w:bidi="ar"/>
              </w:rPr>
            </w:pPr>
            <w:r>
              <w:rPr>
                <w:rFonts w:hint="eastAsia" w:ascii="宋体" w:hAnsi="宋体" w:cs="宋体"/>
                <w:color w:val="auto"/>
                <w:sz w:val="22"/>
                <w:szCs w:val="22"/>
                <w:highlight w:val="none"/>
              </w:rPr>
              <w:t>电压：220V；加热方式：稀土厚膜加热管；水箱容量：≥5L</w:t>
            </w:r>
            <w:r>
              <w:rPr>
                <w:rFonts w:ascii="宋体" w:hAnsi="宋体" w:cs="宋体"/>
                <w:color w:val="auto"/>
                <w:sz w:val="22"/>
                <w:szCs w:val="22"/>
                <w:highlight w:val="none"/>
              </w:rPr>
              <w:t>额定出水量：</w:t>
            </w:r>
            <w:r>
              <w:rPr>
                <w:rFonts w:hint="eastAsia" w:ascii="宋体" w:hAnsi="宋体" w:cs="宋体"/>
                <w:color w:val="auto"/>
                <w:sz w:val="22"/>
                <w:szCs w:val="22"/>
                <w:highlight w:val="none"/>
              </w:rPr>
              <w:t>≥</w:t>
            </w:r>
            <w:r>
              <w:rPr>
                <w:rFonts w:ascii="宋体" w:hAnsi="宋体" w:cs="宋体"/>
                <w:color w:val="auto"/>
                <w:sz w:val="22"/>
                <w:szCs w:val="22"/>
                <w:highlight w:val="none"/>
              </w:rPr>
              <w:t>15.6L/h</w:t>
            </w:r>
            <w:r>
              <w:rPr>
                <w:rFonts w:hint="eastAsia" w:ascii="宋体" w:hAnsi="宋体" w:cs="宋体"/>
                <w:color w:val="auto"/>
                <w:sz w:val="22"/>
                <w:szCs w:val="22"/>
                <w:highlight w:val="none"/>
              </w:rPr>
              <w:t>；工作原理：反渗透。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196" w:type="dxa"/>
            <w:gridSpan w:val="2"/>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w:t>
            </w:r>
            <w:r>
              <w:rPr>
                <w:rFonts w:hint="eastAsia" w:ascii="宋体" w:hAnsi="宋体" w:cs="宋体"/>
                <w:b/>
                <w:bCs/>
                <w:color w:val="auto"/>
                <w:kern w:val="0"/>
                <w:sz w:val="22"/>
                <w:szCs w:val="22"/>
                <w:highlight w:val="none"/>
                <w:lang w:bidi="ar"/>
              </w:rPr>
              <w:t>【六、软装采购】</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6-601</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绿植造景</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组</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装饰绿植.D900*H1300.D1000*H1500.D1000*H1500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6-602</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饰品</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装饰摆件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6-603</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窗帘</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遮光布+纱帘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3196" w:type="dxa"/>
            <w:gridSpan w:val="2"/>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w:t>
            </w:r>
            <w:r>
              <w:rPr>
                <w:rFonts w:hint="eastAsia" w:ascii="宋体" w:hAnsi="宋体" w:cs="宋体"/>
                <w:b/>
                <w:bCs/>
                <w:color w:val="auto"/>
                <w:kern w:val="0"/>
                <w:sz w:val="22"/>
                <w:szCs w:val="22"/>
                <w:highlight w:val="none"/>
                <w:lang w:bidi="ar"/>
              </w:rPr>
              <w:t>【七、设计】</w:t>
            </w:r>
          </w:p>
        </w:tc>
        <w:tc>
          <w:tcPr>
            <w:tcW w:w="106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c>
          <w:tcPr>
            <w:tcW w:w="980" w:type="dxa"/>
            <w:tcBorders>
              <w:tl2br w:val="nil"/>
              <w:tr2bl w:val="nil"/>
            </w:tcBorders>
            <w:shd w:val="clear" w:color="auto" w:fill="auto"/>
            <w:noWrap/>
            <w:vAlign w:val="center"/>
          </w:tcPr>
          <w:p>
            <w:pPr>
              <w:jc w:val="center"/>
              <w:rPr>
                <w:rFonts w:ascii="宋体" w:hAnsi="宋体" w:cs="宋体"/>
                <w:b/>
                <w:bCs/>
                <w:color w:val="auto"/>
                <w:sz w:val="22"/>
                <w:szCs w:val="22"/>
                <w:highlight w:val="none"/>
              </w:rPr>
            </w:pPr>
          </w:p>
        </w:tc>
        <w:tc>
          <w:tcPr>
            <w:tcW w:w="4337" w:type="dxa"/>
            <w:tcBorders>
              <w:tl2br w:val="nil"/>
              <w:tr2bl w:val="nil"/>
            </w:tcBorders>
            <w:shd w:val="clear" w:color="auto" w:fill="auto"/>
            <w:noWrap/>
            <w:vAlign w:val="center"/>
          </w:tcPr>
          <w:p>
            <w:pPr>
              <w:jc w:val="center"/>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7-701</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空间设计费</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7-702</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文案策划费</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7-703</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平面设计费</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7-704</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软装设计费</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jc w:val="left"/>
              <w:rPr>
                <w:rFonts w:ascii="宋体" w:hAnsi="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66" w:type="dxa"/>
            <w:tcBorders>
              <w:tl2br w:val="nil"/>
              <w:tr2bl w:val="nil"/>
            </w:tcBorders>
            <w:shd w:val="clear" w:color="auto" w:fill="auto"/>
            <w:noWrap/>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7-705</w:t>
            </w:r>
          </w:p>
        </w:tc>
        <w:tc>
          <w:tcPr>
            <w:tcW w:w="243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消防设计专项费用</w:t>
            </w:r>
          </w:p>
        </w:tc>
        <w:tc>
          <w:tcPr>
            <w:tcW w:w="1067" w:type="dxa"/>
            <w:tcBorders>
              <w:tl2br w:val="nil"/>
              <w:tr2bl w:val="nil"/>
            </w:tcBorders>
            <w:shd w:val="clear" w:color="auto" w:fill="auto"/>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980" w:type="dxa"/>
            <w:tcBorders>
              <w:tl2br w:val="nil"/>
              <w:tr2bl w:val="nil"/>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337" w:type="dxa"/>
            <w:tcBorders>
              <w:tl2br w:val="nil"/>
              <w:tr2bl w:val="nil"/>
            </w:tcBorders>
            <w:shd w:val="clear" w:color="auto" w:fill="auto"/>
            <w:noWrap/>
            <w:vAlign w:val="center"/>
          </w:tcPr>
          <w:p>
            <w:pPr>
              <w:jc w:val="left"/>
              <w:rPr>
                <w:rFonts w:ascii="宋体" w:hAnsi="宋体" w:cs="宋体"/>
                <w:color w:val="auto"/>
                <w:sz w:val="22"/>
                <w:szCs w:val="22"/>
                <w:highlight w:val="none"/>
              </w:rPr>
            </w:pPr>
          </w:p>
        </w:tc>
      </w:tr>
    </w:tbl>
    <w:p>
      <w:pPr>
        <w:snapToGrid w:val="0"/>
        <w:spacing w:after="0" w:line="360" w:lineRule="exact"/>
        <w:rPr>
          <w:rFonts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五、备注</w:t>
      </w:r>
    </w:p>
    <w:p>
      <w:pPr>
        <w:numPr>
          <w:ilvl w:val="0"/>
          <w:numId w:val="15"/>
        </w:numPr>
        <w:spacing w:after="0" w:line="360" w:lineRule="exact"/>
        <w:ind w:firstLine="418" w:firstLineChars="200"/>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带“▲且加下划线”的有关技术和商务要求为实质性条款，供应商必须做出实质性响应，否则视为无效响应文件。除此之外其余的指标、服务要求以及合同条款可在磋商现场，根据磋商小组与供应商的磋商进行变动。</w:t>
      </w:r>
    </w:p>
    <w:p>
      <w:pPr>
        <w:pStyle w:val="3"/>
        <w:numPr>
          <w:ilvl w:val="0"/>
          <w:numId w:val="15"/>
        </w:numPr>
        <w:spacing w:after="0" w:line="360" w:lineRule="exact"/>
        <w:ind w:firstLine="418" w:firstLineChars="200"/>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除磋商文件中所明确的采购需求规格外，欢迎其他能满足本项目采购需求且性能相当于或高于所明确的产品参加磋商报价。同时在采购需求偏离表中作出详细对比说明。</w:t>
      </w:r>
    </w:p>
    <w:p>
      <w:pPr>
        <w:pStyle w:val="3"/>
        <w:numPr>
          <w:ilvl w:val="0"/>
          <w:numId w:val="15"/>
        </w:numPr>
        <w:spacing w:after="0" w:line="360" w:lineRule="exact"/>
        <w:ind w:firstLine="418" w:firstLineChars="200"/>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如技术要求中未特别注明需执行的国家相关标准、行业标准、地方标准或者其他标准、规范，则统一执行最新标准、规范。</w:t>
      </w:r>
    </w:p>
    <w:p>
      <w:pPr>
        <w:spacing w:line="360" w:lineRule="auto"/>
        <w:rPr>
          <w:rFonts w:ascii="宋体" w:hAnsi="宋体" w:cs="宋体"/>
          <w:b/>
          <w:color w:val="auto"/>
          <w:sz w:val="30"/>
          <w:szCs w:val="30"/>
          <w:highlight w:val="none"/>
        </w:rPr>
      </w:pPr>
      <w:r>
        <w:rPr>
          <w:rFonts w:hint="eastAsia" w:ascii="宋体" w:hAnsi="宋体" w:cs="宋体"/>
          <w:b/>
          <w:color w:val="auto"/>
          <w:spacing w:val="-6"/>
          <w:sz w:val="22"/>
          <w:szCs w:val="22"/>
          <w:highlight w:val="none"/>
        </w:rPr>
        <w:br w:type="page"/>
      </w:r>
    </w:p>
    <w:p>
      <w:pPr>
        <w:numPr>
          <w:ilvl w:val="0"/>
          <w:numId w:val="16"/>
        </w:numPr>
        <w:adjustRightInd w:val="0"/>
        <w:snapToGrid w:val="0"/>
        <w:spacing w:after="0"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合同主要条款</w:t>
      </w:r>
      <w:bookmarkEnd w:id="7"/>
      <w:bookmarkEnd w:id="8"/>
      <w:bookmarkEnd w:id="14"/>
      <w:bookmarkEnd w:id="36"/>
    </w:p>
    <w:p>
      <w:pPr>
        <w:spacing w:after="0" w:line="400" w:lineRule="exact"/>
        <w:ind w:firstLine="437" w:firstLineChars="198"/>
        <w:rPr>
          <w:rFonts w:ascii="宋体" w:hAnsi="宋体" w:cs="宋体"/>
          <w:b/>
          <w:bCs/>
          <w:color w:val="auto"/>
          <w:sz w:val="22"/>
          <w:szCs w:val="22"/>
          <w:highlight w:val="none"/>
        </w:rPr>
      </w:pPr>
      <w:bookmarkStart w:id="37" w:name="_Toc479839541"/>
      <w:r>
        <w:rPr>
          <w:rFonts w:hint="eastAsia" w:ascii="宋体" w:hAnsi="宋体" w:cs="宋体"/>
          <w:b/>
          <w:bCs/>
          <w:color w:val="auto"/>
          <w:sz w:val="22"/>
          <w:szCs w:val="22"/>
          <w:highlight w:val="none"/>
        </w:rPr>
        <w:t>特别提示：以下为温州大学的合同范本，仅供参考，不宜照搬。合同条款的具体内容应严格按照磋商文件、响应文件、采购结果及成交供应商的承诺来拟订。</w:t>
      </w:r>
    </w:p>
    <w:p>
      <w:pPr>
        <w:spacing w:after="0" w:line="400" w:lineRule="exact"/>
        <w:ind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温 州 大 学 服 务 采 购 合 同</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合同编号：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温州大学  </w:t>
      </w:r>
      <w:r>
        <w:rPr>
          <w:rFonts w:hint="eastAsia" w:ascii="宋体" w:hAnsi="宋体" w:cs="宋体"/>
          <w:color w:val="auto"/>
          <w:sz w:val="22"/>
          <w:szCs w:val="22"/>
          <w:highlight w:val="none"/>
        </w:rPr>
        <w:t xml:space="preserve">  </w:t>
      </w:r>
    </w:p>
    <w:p>
      <w:pPr>
        <w:spacing w:after="0"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w:t>
      </w:r>
    </w:p>
    <w:p>
      <w:pPr>
        <w:spacing w:after="0"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合同鉴证方：</w:t>
      </w:r>
      <w:r>
        <w:rPr>
          <w:rFonts w:hint="eastAsia" w:ascii="宋体" w:hAnsi="宋体" w:cs="宋体"/>
          <w:color w:val="auto"/>
          <w:sz w:val="22"/>
          <w:szCs w:val="22"/>
          <w:highlight w:val="none"/>
          <w:u w:val="single"/>
        </w:rPr>
        <w:t xml:space="preserve">                 </w:t>
      </w:r>
    </w:p>
    <w:p>
      <w:pPr>
        <w:spacing w:after="0" w:line="400" w:lineRule="exact"/>
        <w:ind w:firstLine="552" w:firstLineChars="250"/>
        <w:rPr>
          <w:rFonts w:ascii="宋体" w:hAnsi="宋体" w:cs="宋体"/>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color w:val="auto"/>
          <w:sz w:val="22"/>
          <w:szCs w:val="22"/>
          <w:highlight w:val="none"/>
        </w:rPr>
        <w:t>甲方接受乙方对本次</w:t>
      </w:r>
      <w:r>
        <w:rPr>
          <w:rFonts w:hint="eastAsia" w:ascii="宋体" w:hAnsi="宋体" w:cs="宋体"/>
          <w:color w:val="auto"/>
          <w:sz w:val="22"/>
          <w:szCs w:val="22"/>
          <w:highlight w:val="none"/>
          <w:u w:val="single"/>
        </w:rPr>
        <w:t xml:space="preserve">    （项目名称）     （项目编号）</w:t>
      </w:r>
      <w:r>
        <w:rPr>
          <w:rFonts w:hint="eastAsia" w:ascii="宋体" w:hAnsi="宋体" w:cs="宋体"/>
          <w:color w:val="auto"/>
          <w:sz w:val="22"/>
          <w:szCs w:val="22"/>
          <w:highlight w:val="none"/>
        </w:rPr>
        <w:t>服务项目的投标，甲乙双方根据《中华人民共和国民法典》等法规和本合同的采购文件、响应文件及其投标中的承诺，经双方协商，同意签订本合同，共同遵守。</w:t>
      </w:r>
    </w:p>
    <w:p>
      <w:pPr>
        <w:spacing w:after="0" w:line="40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一、服务内容及价格（详细清单可附后）                                    单位： </w:t>
      </w:r>
      <w:r>
        <w:rPr>
          <w:rFonts w:hint="eastAsia" w:ascii="宋体" w:hAnsi="宋体" w:cs="宋体"/>
          <w:color w:val="auto"/>
          <w:sz w:val="22"/>
          <w:szCs w:val="22"/>
          <w:highlight w:val="none"/>
          <w:u w:val="single"/>
        </w:rPr>
        <w:t xml:space="preserve"> 元 </w:t>
      </w:r>
    </w:p>
    <w:tbl>
      <w:tblPr>
        <w:tblStyle w:val="33"/>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47"/>
        <w:gridCol w:w="1848"/>
        <w:gridCol w:w="1707"/>
        <w:gridCol w:w="155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4"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647"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服务名称</w:t>
            </w:r>
          </w:p>
        </w:tc>
        <w:tc>
          <w:tcPr>
            <w:tcW w:w="1848"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服务内容</w:t>
            </w:r>
          </w:p>
        </w:tc>
        <w:tc>
          <w:tcPr>
            <w:tcW w:w="1707"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服务期限</w:t>
            </w:r>
          </w:p>
        </w:tc>
        <w:tc>
          <w:tcPr>
            <w:tcW w:w="1559"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服务地点</w:t>
            </w:r>
          </w:p>
        </w:tc>
        <w:tc>
          <w:tcPr>
            <w:tcW w:w="1813"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4" w:type="dxa"/>
            <w:vAlign w:val="center"/>
          </w:tcPr>
          <w:p>
            <w:pPr>
              <w:snapToGrid w:val="0"/>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647" w:type="dxa"/>
            <w:vAlign w:val="center"/>
          </w:tcPr>
          <w:p>
            <w:pPr>
              <w:spacing w:after="0" w:line="400" w:lineRule="exact"/>
              <w:jc w:val="center"/>
              <w:rPr>
                <w:rFonts w:ascii="宋体" w:hAnsi="宋体" w:cs="宋体"/>
                <w:color w:val="auto"/>
                <w:sz w:val="22"/>
                <w:szCs w:val="22"/>
                <w:highlight w:val="none"/>
              </w:rPr>
            </w:pPr>
          </w:p>
        </w:tc>
        <w:tc>
          <w:tcPr>
            <w:tcW w:w="1848"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见合同附件</w:t>
            </w:r>
          </w:p>
        </w:tc>
        <w:tc>
          <w:tcPr>
            <w:tcW w:w="1707" w:type="dxa"/>
            <w:vAlign w:val="center"/>
          </w:tcPr>
          <w:p>
            <w:pPr>
              <w:spacing w:after="0" w:line="400" w:lineRule="exact"/>
              <w:jc w:val="center"/>
              <w:rPr>
                <w:rFonts w:ascii="宋体" w:hAnsi="宋体" w:cs="宋体"/>
                <w:color w:val="auto"/>
                <w:sz w:val="22"/>
                <w:szCs w:val="22"/>
                <w:highlight w:val="none"/>
              </w:rPr>
            </w:pPr>
          </w:p>
        </w:tc>
        <w:tc>
          <w:tcPr>
            <w:tcW w:w="1559" w:type="dxa"/>
            <w:vAlign w:val="center"/>
          </w:tcPr>
          <w:p>
            <w:pPr>
              <w:spacing w:after="0" w:line="400" w:lineRule="exact"/>
              <w:jc w:val="center"/>
              <w:rPr>
                <w:rFonts w:ascii="宋体" w:hAnsi="宋体" w:cs="宋体"/>
                <w:color w:val="auto"/>
                <w:sz w:val="22"/>
                <w:szCs w:val="22"/>
                <w:highlight w:val="none"/>
              </w:rPr>
            </w:pPr>
          </w:p>
        </w:tc>
        <w:tc>
          <w:tcPr>
            <w:tcW w:w="1813" w:type="dxa"/>
            <w:vAlign w:val="center"/>
          </w:tcPr>
          <w:p>
            <w:pPr>
              <w:snapToGrid w:val="0"/>
              <w:spacing w:after="0"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8" w:type="dxa"/>
            <w:gridSpan w:val="6"/>
          </w:tcPr>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合计：（大写）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288" w:type="dxa"/>
            <w:gridSpan w:val="6"/>
          </w:tcPr>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备注：甲方委托的第三方咨询公司审价单位对项目审价完成后，按照实际发生服务工作量结算。</w:t>
            </w:r>
          </w:p>
        </w:tc>
      </w:tr>
    </w:tbl>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合同价格形式：综合单价合同。</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为设计施工总承包项目。总价包括磋商文件所确定的采购范围内全部工作内容的价格体现，包括但不限于方案修改、深化设计、施工图设计、设计变更、配合费用、效果图制作、图纸资料费、差旅费、施工费、制作、损耗、安装、运输、垃圾清运费、管理费、施工措施费、规费、技术服务费、设备购置费、验收费、检测费、利润、税金、风险费用、采购代理费等完成合同所需的一切本身和不可或缺的所有工作开支、政策性文件规定及合同包含的所有风险、责任等各项全部费用并承担一切风险责任。</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风险费用的计算方法：乙方已自行考虑在合同总价中。</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风险范围以外合同价格的调整方法：如因甲方原因引起的变更根据本合同计费标准规定调整。</w:t>
      </w:r>
    </w:p>
    <w:p>
      <w:pPr>
        <w:snapToGrid w:val="0"/>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甲方保留在签约后调整部分承包范围的权力，直至某些项目的取消，价格作相应调整；如因工程变更造成某些项目的取消或调整，乙方也不得拒绝，相应价款按本合同计费标准规定从合同价中扣除或调整。</w:t>
      </w:r>
    </w:p>
    <w:p>
      <w:pPr>
        <w:widowControl/>
        <w:snapToGrid w:val="0"/>
        <w:spacing w:after="0" w:line="400" w:lineRule="exact"/>
        <w:ind w:firstLine="442" w:firstLineChars="200"/>
        <w:jc w:val="left"/>
        <w:rPr>
          <w:rFonts w:ascii="宋体" w:hAnsi="宋体" w:cs="宋体"/>
          <w:color w:val="auto"/>
          <w:sz w:val="22"/>
          <w:szCs w:val="22"/>
          <w:highlight w:val="none"/>
        </w:rPr>
      </w:pPr>
      <w:r>
        <w:rPr>
          <w:rFonts w:hint="eastAsia" w:ascii="宋体" w:hAnsi="宋体" w:cs="宋体"/>
          <w:b/>
          <w:bCs/>
          <w:color w:val="auto"/>
          <w:sz w:val="22"/>
          <w:szCs w:val="22"/>
          <w:highlight w:val="none"/>
        </w:rPr>
        <w:t>本项目属于交钥匙工程，乙方完成承担的所有工程专业内容，并保证所有功能满足项目的使用需求并满足相关验收要求。本项目最终结算价不超过成交金额，否则超出部分由乙方自行承担费用。</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二、服务全程必须符合法律法规、行业行规；在服务期间，乙方对服务造成的任何问题或故障负责，所涉及的安全、人员健康等问题，由乙方承担责任，甲方可提供协助。</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三、甲乙双方须指定联系人，如果服务期间需更改联系人，必须及时书面通知对方，否则造成服务问题，由更改方承担责任。甲方联系人：</w:t>
      </w:r>
      <w:r>
        <w:rPr>
          <w:rFonts w:hint="eastAsia" w:ascii="宋体" w:hAnsi="宋体" w:cs="宋体"/>
          <w:color w:val="auto"/>
          <w:sz w:val="22"/>
          <w:szCs w:val="22"/>
          <w:highlight w:val="none"/>
          <w:u w:val="single"/>
        </w:rPr>
        <w:t xml:space="preserve">        手机号：             </w:t>
      </w:r>
      <w:r>
        <w:rPr>
          <w:rFonts w:hint="eastAsia" w:ascii="宋体" w:hAnsi="宋体" w:cs="宋体"/>
          <w:color w:val="auto"/>
          <w:sz w:val="22"/>
          <w:szCs w:val="22"/>
          <w:highlight w:val="none"/>
        </w:rPr>
        <w:t>；乙方联系人：</w:t>
      </w:r>
      <w:r>
        <w:rPr>
          <w:rFonts w:hint="eastAsia" w:ascii="宋体" w:hAnsi="宋体" w:cs="宋体"/>
          <w:color w:val="auto"/>
          <w:sz w:val="22"/>
          <w:szCs w:val="22"/>
          <w:highlight w:val="none"/>
          <w:u w:val="single"/>
        </w:rPr>
        <w:t xml:space="preserve">           手机号：        </w:t>
      </w:r>
      <w:r>
        <w:rPr>
          <w:rFonts w:hint="eastAsia" w:ascii="宋体" w:hAnsi="宋体" w:cs="宋体"/>
          <w:color w:val="auto"/>
          <w:sz w:val="22"/>
          <w:szCs w:val="22"/>
          <w:highlight w:val="none"/>
        </w:rPr>
        <w:t>。</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四、付款方式与结算</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1、履约保证金支付</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合同签订后，乙方5个工作日内支付合同金额的1%作为履约保证金（以转账、支票、汇票、本票或者金融机构、担保机构出具的保函等非现金形式提交。），履约保证金自项目验收合格之日起无质量问题，甲方按程序在7个工作日内无息退还。</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2、合同金额结算及支付方式：</w:t>
      </w:r>
    </w:p>
    <w:p>
      <w:pPr>
        <w:spacing w:after="0" w:line="40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合同生效、采购人收到成交供应商出具的合同金额40%保函以及具备实施条件后7个工作日内，向成交供应商支付合同总额40%的预付款，成交供应商</w:t>
      </w:r>
      <w:r>
        <w:rPr>
          <w:rFonts w:hint="eastAsia" w:ascii="宋体" w:hAnsi="宋体" w:cs="宋体"/>
          <w:color w:val="auto"/>
          <w:kern w:val="0"/>
          <w:sz w:val="22"/>
          <w:szCs w:val="22"/>
          <w:highlight w:val="none"/>
          <w:u w:val="single"/>
          <w:lang w:val="zh-CN"/>
        </w:rPr>
        <w:t>完成全部服务，</w:t>
      </w: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u w:val="single"/>
          <w:lang w:val="zh-CN"/>
        </w:rPr>
        <w:t>验收合格</w:t>
      </w:r>
      <w:r>
        <w:rPr>
          <w:rFonts w:hint="eastAsia" w:ascii="宋体" w:hAnsi="宋体" w:cs="宋体"/>
          <w:color w:val="auto"/>
          <w:kern w:val="0"/>
          <w:sz w:val="22"/>
          <w:szCs w:val="22"/>
          <w:highlight w:val="none"/>
          <w:u w:val="single"/>
        </w:rPr>
        <w:t>办理第三方咨询公司审价结算后，</w:t>
      </w:r>
      <w:r>
        <w:rPr>
          <w:rFonts w:hint="eastAsia" w:ascii="宋体" w:hAnsi="宋体" w:cs="宋体"/>
          <w:color w:val="auto"/>
          <w:kern w:val="0"/>
          <w:sz w:val="22"/>
          <w:szCs w:val="22"/>
          <w:highlight w:val="none"/>
          <w:u w:val="single"/>
          <w:lang w:val="zh-CN"/>
        </w:rPr>
        <w:t>收到</w:t>
      </w:r>
      <w:r>
        <w:rPr>
          <w:rFonts w:hint="eastAsia" w:ascii="宋体" w:hAnsi="宋体" w:cs="宋体"/>
          <w:color w:val="auto"/>
          <w:kern w:val="0"/>
          <w:sz w:val="22"/>
          <w:szCs w:val="22"/>
          <w:highlight w:val="none"/>
          <w:u w:val="single"/>
        </w:rPr>
        <w:t>成交供应商</w:t>
      </w:r>
      <w:r>
        <w:rPr>
          <w:rFonts w:hint="eastAsia" w:ascii="宋体" w:hAnsi="宋体" w:cs="宋体"/>
          <w:color w:val="auto"/>
          <w:kern w:val="0"/>
          <w:sz w:val="22"/>
          <w:szCs w:val="22"/>
          <w:highlight w:val="none"/>
          <w:u w:val="single"/>
          <w:lang w:val="zh-CN"/>
        </w:rPr>
        <w:t>出具</w:t>
      </w:r>
      <w:r>
        <w:rPr>
          <w:rFonts w:hint="eastAsia" w:ascii="宋体" w:hAnsi="宋体" w:cs="宋体"/>
          <w:color w:val="auto"/>
          <w:kern w:val="0"/>
          <w:sz w:val="22"/>
          <w:szCs w:val="22"/>
          <w:highlight w:val="none"/>
          <w:u w:val="single"/>
        </w:rPr>
        <w:t>结算价</w:t>
      </w:r>
      <w:r>
        <w:rPr>
          <w:rFonts w:hint="eastAsia" w:ascii="宋体" w:hAnsi="宋体" w:cs="宋体"/>
          <w:color w:val="auto"/>
          <w:kern w:val="0"/>
          <w:sz w:val="22"/>
          <w:szCs w:val="22"/>
          <w:highlight w:val="none"/>
          <w:u w:val="single"/>
          <w:lang w:val="zh-CN"/>
        </w:rPr>
        <w:t>全额增值税</w:t>
      </w:r>
      <w:r>
        <w:rPr>
          <w:rFonts w:hint="eastAsia" w:ascii="宋体" w:hAnsi="宋体" w:cs="宋体"/>
          <w:color w:val="auto"/>
          <w:kern w:val="0"/>
          <w:sz w:val="22"/>
          <w:szCs w:val="22"/>
          <w:highlight w:val="none"/>
          <w:u w:val="single"/>
        </w:rPr>
        <w:t>服务类</w:t>
      </w:r>
      <w:r>
        <w:rPr>
          <w:rFonts w:hint="eastAsia" w:ascii="宋体" w:hAnsi="宋体" w:cs="宋体"/>
          <w:color w:val="auto"/>
          <w:kern w:val="0"/>
          <w:sz w:val="22"/>
          <w:szCs w:val="22"/>
          <w:highlight w:val="none"/>
          <w:u w:val="single"/>
          <w:lang w:val="zh-CN"/>
        </w:rPr>
        <w:t>发票后</w:t>
      </w:r>
      <w:r>
        <w:rPr>
          <w:rFonts w:hint="eastAsia" w:ascii="宋体" w:hAnsi="宋体" w:cs="宋体"/>
          <w:color w:val="auto"/>
          <w:kern w:val="0"/>
          <w:sz w:val="22"/>
          <w:szCs w:val="22"/>
          <w:highlight w:val="none"/>
          <w:u w:val="single"/>
        </w:rPr>
        <w:t>7</w:t>
      </w:r>
      <w:r>
        <w:rPr>
          <w:rFonts w:hint="eastAsia" w:ascii="宋体" w:hAnsi="宋体" w:cs="宋体"/>
          <w:color w:val="auto"/>
          <w:kern w:val="0"/>
          <w:sz w:val="22"/>
          <w:szCs w:val="22"/>
          <w:highlight w:val="none"/>
          <w:u w:val="single"/>
          <w:lang w:val="zh-CN"/>
        </w:rPr>
        <w:t>个工作日内，</w:t>
      </w:r>
      <w:r>
        <w:rPr>
          <w:rFonts w:hint="eastAsia" w:ascii="宋体" w:hAnsi="宋体" w:cs="宋体"/>
          <w:color w:val="auto"/>
          <w:kern w:val="0"/>
          <w:sz w:val="22"/>
          <w:szCs w:val="22"/>
          <w:highlight w:val="none"/>
          <w:u w:val="single"/>
        </w:rPr>
        <w:t>采购人</w:t>
      </w:r>
      <w:r>
        <w:rPr>
          <w:rFonts w:hint="eastAsia" w:ascii="宋体" w:hAnsi="宋体" w:cs="宋体"/>
          <w:color w:val="auto"/>
          <w:kern w:val="0"/>
          <w:sz w:val="22"/>
          <w:szCs w:val="22"/>
          <w:highlight w:val="none"/>
          <w:u w:val="single"/>
          <w:lang w:val="zh-CN"/>
        </w:rPr>
        <w:t>支付</w:t>
      </w:r>
      <w:r>
        <w:rPr>
          <w:rFonts w:hint="eastAsia" w:ascii="宋体" w:hAnsi="宋体" w:cs="宋体"/>
          <w:color w:val="auto"/>
          <w:kern w:val="0"/>
          <w:sz w:val="22"/>
          <w:szCs w:val="22"/>
          <w:highlight w:val="none"/>
          <w:u w:val="single"/>
        </w:rPr>
        <w:t>付至结算价的100%</w:t>
      </w:r>
      <w:r>
        <w:rPr>
          <w:rFonts w:hint="eastAsia" w:ascii="宋体" w:hAnsi="宋体" w:cs="宋体"/>
          <w:color w:val="auto"/>
          <w:kern w:val="0"/>
          <w:sz w:val="22"/>
          <w:szCs w:val="22"/>
          <w:highlight w:val="none"/>
          <w:u w:val="single"/>
          <w:lang w:val="zh-CN"/>
        </w:rPr>
        <w:t>并退还保函</w:t>
      </w:r>
      <w:r>
        <w:rPr>
          <w:rFonts w:hint="eastAsia" w:ascii="宋体" w:hAnsi="宋体" w:cs="宋体"/>
          <w:color w:val="auto"/>
          <w:kern w:val="0"/>
          <w:sz w:val="22"/>
          <w:szCs w:val="22"/>
          <w:highlight w:val="none"/>
          <w:u w:val="single"/>
        </w:rPr>
        <w:t>。</w:t>
      </w:r>
    </w:p>
    <w:p>
      <w:pPr>
        <w:pStyle w:val="8"/>
        <w:tabs>
          <w:tab w:val="left" w:pos="360"/>
        </w:tabs>
        <w:spacing w:after="0" w:line="400" w:lineRule="exact"/>
        <w:ind w:firstLine="440" w:firstLineChars="200"/>
        <w:contextualSpacing/>
        <w:rPr>
          <w:rFonts w:hAnsi="宋体" w:cs="宋体"/>
          <w:color w:val="auto"/>
          <w:sz w:val="22"/>
          <w:szCs w:val="22"/>
          <w:highlight w:val="none"/>
        </w:rPr>
      </w:pPr>
      <w:r>
        <w:rPr>
          <w:rFonts w:hint="eastAsia" w:hAnsi="宋体" w:cs="宋体"/>
          <w:color w:val="auto"/>
          <w:kern w:val="0"/>
          <w:sz w:val="22"/>
          <w:szCs w:val="22"/>
          <w:highlight w:val="none"/>
          <w:u w:val="single"/>
        </w:rPr>
        <w:t>注：</w:t>
      </w:r>
      <w:r>
        <w:rPr>
          <w:rFonts w:hint="eastAsia" w:hAnsi="宋体" w:cs="宋体"/>
          <w:color w:val="auto"/>
          <w:spacing w:val="-6"/>
          <w:sz w:val="22"/>
          <w:szCs w:val="22"/>
          <w:highlight w:val="none"/>
          <w:u w:val="single"/>
        </w:rPr>
        <w:t>所有服务款结算以实际服务工作量为准，经甲方指定的咨询公司审价后确定结算金额。</w:t>
      </w:r>
      <w:r>
        <w:rPr>
          <w:rFonts w:hint="eastAsia" w:hAnsi="宋体" w:cs="宋体"/>
          <w:color w:val="auto"/>
          <w:kern w:val="0"/>
          <w:sz w:val="22"/>
          <w:szCs w:val="22"/>
          <w:highlight w:val="none"/>
          <w:u w:val="single"/>
        </w:rPr>
        <w:t>在签订合同时，成交供应商明确表示无需预付款或者主动要求降低预付款比例的，按实际比例计</w:t>
      </w:r>
      <w:r>
        <w:rPr>
          <w:rFonts w:hint="eastAsia" w:hAnsi="宋体" w:cs="宋体"/>
          <w:color w:val="auto"/>
          <w:kern w:val="0"/>
          <w:sz w:val="22"/>
          <w:szCs w:val="22"/>
          <w:highlight w:val="none"/>
          <w:u w:val="single"/>
          <w:lang w:val="zh-CN"/>
        </w:rPr>
        <w:t>。</w:t>
      </w:r>
    </w:p>
    <w:p>
      <w:pPr>
        <w:pStyle w:val="8"/>
        <w:snapToGrid w:val="0"/>
        <w:spacing w:after="0" w:line="400" w:lineRule="exact"/>
        <w:ind w:firstLine="442" w:firstLineChars="200"/>
        <w:contextualSpacing/>
        <w:rPr>
          <w:rFonts w:hAnsi="宋体" w:cs="宋体"/>
          <w:b/>
          <w:color w:val="auto"/>
          <w:sz w:val="22"/>
          <w:szCs w:val="22"/>
          <w:highlight w:val="none"/>
        </w:rPr>
      </w:pPr>
      <w:r>
        <w:rPr>
          <w:rFonts w:hint="eastAsia" w:hAnsi="宋体" w:cs="宋体"/>
          <w:b/>
          <w:color w:val="auto"/>
          <w:sz w:val="22"/>
          <w:szCs w:val="22"/>
          <w:highlight w:val="none"/>
        </w:rPr>
        <w:t>3、计费标准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甲方发出的变更指令进行的合同价格调整，乙方按照合理的成本与利润构成的原则，由合同当事人按照以下原则确定变更内容的价格。</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（1）甲方原因引起的变更，单价和工程量按如下方式确定：</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①单价确定方法（新增与核减部分的单价均按以下方法确定单价）：</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由乙方浙江省计价依据（2018定额）及项目实施阶段信息价（按《温州工程造价信息》综合版、《浙江造价信息》综合版的顺序取定，余同）进行计算后，按10%下浮率进行计算，经第三方咨询公司审价单位审定后，作为结算价格。如现行计价依据无相应的计价依据，则由乙方参考现行的计价依据提出适当的单价，经第三方咨询公司审价单位审定后，作为结算价格。如采用的工程材料没有信息价，则工程材料价格应通过市场询价，经第三方咨询公司审价单位审定后，作为结算价格（询价材料价格不下浮）。如出现询价争议情况的，则甲方有权将争议部分的工程材料单独进行招标或比选确定。</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②工程量调整方法：</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经甲方确认的由甲方原因引起的施工范围调整、工程变更、设计变更，按实际增加或减少的工程量和根据上述第①条确定的单价调整合同价格。</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（2）下列情况，未经甲方确认的变更，其责任属于乙方，相应合同价款将不予计取。</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①乙方使用的材料设备品牌档次低于招标文件推荐的材料设备品牌档次的，甲方有权要求更换为推荐品牌档次的材料设备。</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②内容制作未经甲方确认的，甲方有权要求重做。</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③乙方主动提出的且未经甲方确认的变更。</w:t>
      </w:r>
    </w:p>
    <w:p>
      <w:pPr>
        <w:spacing w:after="0" w:line="40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（3）未经甲方确认，擅自降低标准或减少工程量，费用按上述第（1）款规定计算，并扣回相关费用。</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五、技术要求</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1、乙方所提供货物或材料必须符合国家有关规范和环保、消防、安保、文保要求及甲方的技术要求，并提供厂家的测试报告。</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2、没有甲方事先书面同意，乙方不得将由甲方提供的陈列大纲、文物展品资料及有关合同或任何合同条文、规格、计划、图纸、样品或资料提供给与履行本合同无关的任何其他人。即使向履行本合同有关的人员提供，也应注意保密并限于履行合同的必需范围。</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3、乙方团队人员名单（包括项目负责人</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，主设计师</w:t>
      </w:r>
      <w:r>
        <w:rPr>
          <w:rFonts w:hint="eastAsia" w:hAnsi="宋体" w:cs="宋体"/>
          <w:color w:val="auto"/>
          <w:sz w:val="22"/>
          <w:szCs w:val="22"/>
          <w:highlight w:val="none"/>
          <w:u w:val="single"/>
        </w:rPr>
        <w:t xml:space="preserve">       </w:t>
      </w:r>
      <w:r>
        <w:rPr>
          <w:rFonts w:hint="eastAsia" w:hAnsi="宋体" w:cs="宋体"/>
          <w:color w:val="auto"/>
          <w:sz w:val="22"/>
          <w:szCs w:val="22"/>
          <w:highlight w:val="none"/>
        </w:rPr>
        <w:t>），</w:t>
      </w:r>
      <w:r>
        <w:rPr>
          <w:rFonts w:hint="eastAsia" w:hAnsi="宋体" w:cs="宋体"/>
          <w:color w:val="auto"/>
          <w:sz w:val="22"/>
          <w:szCs w:val="22"/>
          <w:highlight w:val="none"/>
          <w:u w:val="single"/>
        </w:rPr>
        <w:t>在合同履行期间内，乙方不得擅自更换项目负责人和主设计师</w:t>
      </w:r>
      <w:r>
        <w:rPr>
          <w:rFonts w:hint="eastAsia" w:hAnsi="宋体" w:cs="宋体"/>
          <w:color w:val="auto"/>
          <w:sz w:val="22"/>
          <w:szCs w:val="22"/>
          <w:highlight w:val="none"/>
        </w:rPr>
        <w:t>。未经甲方同意，乙方不得擅自更换其他作业员工。</w:t>
      </w:r>
    </w:p>
    <w:p>
      <w:pPr>
        <w:spacing w:after="0" w:line="400" w:lineRule="exact"/>
        <w:ind w:firstLine="440" w:firstLineChars="200"/>
        <w:contextualSpacing/>
        <w:rPr>
          <w:rFonts w:ascii="宋体" w:hAnsi="宋体" w:cs="宋体"/>
          <w:color w:val="auto"/>
          <w:sz w:val="22"/>
          <w:szCs w:val="22"/>
          <w:highlight w:val="none"/>
          <w:u w:val="single"/>
        </w:rPr>
      </w:pPr>
      <w:r>
        <w:rPr>
          <w:rFonts w:hint="eastAsia" w:ascii="宋体" w:hAnsi="宋体" w:cs="宋体"/>
          <w:color w:val="auto"/>
          <w:sz w:val="22"/>
          <w:szCs w:val="22"/>
          <w:highlight w:val="none"/>
        </w:rPr>
        <w:t>4、关于项目负责人在施工现场的时间要求：</w:t>
      </w:r>
      <w:r>
        <w:rPr>
          <w:rFonts w:hint="eastAsia" w:ascii="宋体" w:hAnsi="宋体" w:cs="宋体"/>
          <w:color w:val="auto"/>
          <w:sz w:val="22"/>
          <w:szCs w:val="22"/>
          <w:highlight w:val="none"/>
          <w:u w:val="single"/>
        </w:rPr>
        <w:t>项目负责人到场率不低于90%，每天工作时间不少于8小时，且工程例会、图纸交底、验收环节及甲方认为需要到场等时期项目负责人必须到场参加。</w:t>
      </w:r>
    </w:p>
    <w:p>
      <w:pPr>
        <w:spacing w:after="0" w:line="400" w:lineRule="exact"/>
        <w:ind w:firstLine="440" w:firstLineChars="200"/>
        <w:contextualSpacing/>
        <w:rPr>
          <w:rFonts w:ascii="宋体" w:hAnsi="宋体" w:cs="宋体"/>
          <w:color w:val="auto"/>
          <w:sz w:val="22"/>
          <w:szCs w:val="22"/>
          <w:highlight w:val="none"/>
          <w:u w:val="single"/>
        </w:rPr>
      </w:pPr>
      <w:r>
        <w:rPr>
          <w:rFonts w:hint="eastAsia" w:ascii="宋体" w:hAnsi="宋体" w:cs="宋体"/>
          <w:color w:val="auto"/>
          <w:sz w:val="22"/>
          <w:szCs w:val="22"/>
          <w:highlight w:val="none"/>
        </w:rPr>
        <w:t>5、关于主设计师施工、布展期间在现场的时间要求：</w:t>
      </w:r>
      <w:r>
        <w:rPr>
          <w:rFonts w:hint="eastAsia" w:ascii="宋体" w:hAnsi="宋体" w:cs="宋体"/>
          <w:color w:val="auto"/>
          <w:sz w:val="22"/>
          <w:szCs w:val="22"/>
          <w:highlight w:val="none"/>
          <w:u w:val="single"/>
        </w:rPr>
        <w:t>项目施工期间，主设计师必须至少3次以上到现场：（1）施工前现场放样时；（2）施工中；（3）竣工前。且布展期间到场率不低于80%，且甲方认为需要到场的时期主设计师必须到场参加。</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6、乙方须为上述全体作业员工购买社保或人身意外保险，重视安全生产工作，确保全年不出生产责任事故。如发生安全生产责任事故或交通事故，由乙方承担一切责任及损失。</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六、知识产权</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1、乙方应保证所提供的货物、工程或服务的其任何一部分均不会侵犯任何第三方的知识产权，否则由此造成的任何纠纷或费用（包括但不限于因纠纷导致甲方实际发生的诉讼费、仲裁费、财产保全费、担保费、差旅费、律师费等费用）一律由乙方负责及承担。</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2、涉及到展览相关的所有图文资料（特别是文物图文资料），乙方应履行保密职责，如因乙方原因导致信息泄露的，一切责任由乙方承担。</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七、产权担保</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乙方保证所交付的货物的所有权完全属于乙方且无任何抵押、查封等产权瑕疵，否则由此造成的任何纠纷或费用（包括但不限于因纠纷导致甲方实际发生的诉讼费、仲裁费、财产保全费、担保费、差旅费、律师费等费用）一律由乙方负责及承担，与甲方无涉。</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八、转包或分包</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1、本合同范围的展陈列内容，应由乙方直接承接，不得转让他人；</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2、除非得到甲方的书面同意，乙方不得对展陈列内容分包；</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3、如有转让和未经甲方同意的分包行为，甲方有权终止合同。</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九、质保期</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自竣工验收合格之日起2年。</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质保范围及内容，双方约定如下：</w:t>
      </w:r>
      <w:r>
        <w:rPr>
          <w:rFonts w:hint="eastAsia" w:hAnsi="宋体" w:cs="宋体"/>
          <w:color w:val="auto"/>
          <w:sz w:val="22"/>
          <w:szCs w:val="22"/>
          <w:highlight w:val="none"/>
          <w:u w:val="single"/>
        </w:rPr>
        <w:t>本合同范围内的所有乙方负责的负责内容，质量问题均由乙方负责，并承担所发生的一切费用。</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十、双方</w:t>
      </w:r>
      <w:bookmarkStart w:id="38" w:name="_Toc84779279"/>
      <w:r>
        <w:rPr>
          <w:rFonts w:hint="eastAsia" w:hAnsi="宋体" w:cs="宋体"/>
          <w:b/>
          <w:color w:val="auto"/>
          <w:sz w:val="22"/>
          <w:szCs w:val="22"/>
          <w:highlight w:val="none"/>
        </w:rPr>
        <w:t>的权利与义务</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1、甲方</w:t>
      </w:r>
      <w:bookmarkEnd w:id="38"/>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1）提供相关的协助服务，配合乙方履行好合同义务；</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2）审核乙方服务的内容，按合同规定向乙方支付服务费用；</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对乙方组织、进度、质量、现场管理、服务合同的执行情况进行审核、监督和检查。如乙方派出的服务人员在本合同实施过程中，因素质、技术水平、服务质量、现场管理经验、采用的设备、文明安全等都不符合采购文件的要求或响应文件中的承诺，造成现场管理混乱、服务质量和进度达不到响应文件中所承诺的要求时，甲方有权要求其重新调整充实服务人员，乙方必须接受，否则作违约处理，造成经济损失的，乙方应予赔偿。</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2、乙方</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1）乙方按合同规定的时间、条件和内容提供服务。合同签订后，乙方应立即组织人员对标的项目进行一次全面巡检、维护。</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2）编制服务方案和参与服务人员的安排。</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3）严格按照合同规定时间和要求进行优质的服务。</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4）对服务过程出现的问题，无条件负责处理，直至甲方满意为止。</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5）合同期满，乙方必须对所有服务内容进行一次全面巡检，确保服务内容无故障。</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6）乙方须全面提供安全保护措施，如在展览过程中因布展质量或因成交供应商原因造成安全事故，对人或文物造成损失的，由乙方承担一切责任及损失。</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7）采购文件中规定的其他责任。</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十一、税费</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本合同执行中相关的一切税费均由乙方承担，乙方必须向甲方和甲方委托的咨询公司提供合规票据，否则甲方有权拒付。</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十二、质量保证及售后服务</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1、乙方应按采购文件规定的技术要求、质量标准向甲方提供服务及产品。</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2、乙方提供的货物或材料在质保期内因本身的质量问题发生故障，乙方应负责免费更换。对达不到技术要求的，根据实际情况，经双方协商，可按以下办法处理：</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（1）更换：由乙方承担所发生的全部费用。</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（2）退货处理：乙方应退还甲方支付的合同款，同时应承担该货物或材料的直接费用（运输、保险、检验、货款利息及银行手续费等）。</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3、如在展览过程中发生质量问题，乙方须接到甲方通知后2-4小时内到达甲方现场，4-8小时内修复，12-24小时内无法修复的，需更换或免费提供代用产品。</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4、在展览期间内，乙方应对所提供货物或材料出现的质量及安全问题负责，处理解决相关问题并承担一切费用。</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十三、项目验收</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响应文件、采购文件等约定的质量、数量、技术指标或者服务要求设验收指标及其标准。未约定的，应当符合国家强制性规定、政策要求、安全标准、行业或企业有关标准等。本项目为全过程审计。验收产生的费用由乙方承当。</w:t>
      </w:r>
    </w:p>
    <w:p>
      <w:pPr>
        <w:pStyle w:val="8"/>
        <w:snapToGrid w:val="0"/>
        <w:spacing w:after="0" w:line="400" w:lineRule="exact"/>
        <w:contextualSpacing/>
        <w:rPr>
          <w:rFonts w:hAnsi="宋体" w:cs="宋体"/>
          <w:b/>
          <w:color w:val="auto"/>
          <w:sz w:val="22"/>
          <w:szCs w:val="22"/>
          <w:highlight w:val="none"/>
        </w:rPr>
      </w:pPr>
      <w:r>
        <w:rPr>
          <w:rFonts w:hint="eastAsia" w:hAnsi="宋体" w:cs="宋体"/>
          <w:color w:val="auto"/>
          <w:sz w:val="22"/>
          <w:szCs w:val="22"/>
          <w:highlight w:val="none"/>
        </w:rPr>
        <w:t xml:space="preserve"> </w:t>
      </w:r>
      <w:r>
        <w:rPr>
          <w:rFonts w:hint="eastAsia" w:hAnsi="宋体" w:cs="宋体"/>
          <w:b/>
          <w:color w:val="auto"/>
          <w:sz w:val="22"/>
          <w:szCs w:val="22"/>
          <w:highlight w:val="none"/>
        </w:rPr>
        <w:t>十四、违约责任</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 xml:space="preserve">1、乙方逾期交付施工成果或已交付成果未达到施工要求的，乙方应按该交付总额每日万分之五向甲方支付违约金，逾期超过约定日期10个工作日不能交付，甲方可解除合同；经甲方同意由乙方在规定期限内进行整改仍不能按期完成的，乙方应向甲方支付该展览项目总额的10%的违约金，同时甲方有权解除本合同另行委托第三方施工。如乙方违约造成甲方损失超过违约金的，超出部分由乙方继续承担赔偿责任。 </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 xml:space="preserve">以上乙方应付的违约金可由甲方从履约保证金及待付款中扣除。 </w:t>
      </w:r>
    </w:p>
    <w:p>
      <w:pPr>
        <w:spacing w:after="0" w:line="400" w:lineRule="exact"/>
        <w:ind w:firstLine="440" w:firstLineChars="200"/>
        <w:contextualSpacing/>
        <w:rPr>
          <w:rFonts w:ascii="宋体" w:hAnsi="宋体" w:cs="宋体"/>
          <w:color w:val="auto"/>
          <w:sz w:val="22"/>
          <w:szCs w:val="22"/>
          <w:highlight w:val="none"/>
          <w:u w:val="single"/>
        </w:rPr>
      </w:pPr>
      <w:r>
        <w:rPr>
          <w:rFonts w:hint="eastAsia" w:ascii="宋体" w:hAnsi="宋体" w:cs="宋体"/>
          <w:color w:val="auto"/>
          <w:sz w:val="22"/>
          <w:szCs w:val="22"/>
          <w:highlight w:val="none"/>
        </w:rPr>
        <w:t>2、乙方擅自更换或未按时间到达现场或未经甲方同意擅自</w:t>
      </w:r>
      <w:r>
        <w:rPr>
          <w:rFonts w:hint="eastAsia" w:ascii="宋体" w:hAnsi="宋体" w:cs="宋体"/>
          <w:iCs/>
          <w:color w:val="auto"/>
          <w:sz w:val="22"/>
          <w:szCs w:val="22"/>
          <w:highlight w:val="none"/>
        </w:rPr>
        <w:t>离开布展现场</w:t>
      </w:r>
      <w:r>
        <w:rPr>
          <w:rFonts w:hint="eastAsia" w:ascii="宋体" w:hAnsi="宋体" w:cs="宋体"/>
          <w:color w:val="auto"/>
          <w:sz w:val="22"/>
          <w:szCs w:val="22"/>
          <w:highlight w:val="none"/>
        </w:rPr>
        <w:t>的主设计师、项目负责人违约责任：</w:t>
      </w:r>
      <w:r>
        <w:rPr>
          <w:rFonts w:hint="eastAsia" w:ascii="宋体" w:hAnsi="宋体" w:cs="宋体"/>
          <w:color w:val="auto"/>
          <w:sz w:val="22"/>
          <w:szCs w:val="22"/>
          <w:highlight w:val="none"/>
          <w:u w:val="single"/>
        </w:rPr>
        <w:t>扣罚20000元/次作为违约金，从合同结算金额中扣除。</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iCs/>
          <w:color w:val="auto"/>
          <w:sz w:val="22"/>
          <w:szCs w:val="22"/>
          <w:highlight w:val="none"/>
        </w:rPr>
        <w:t>3</w:t>
      </w:r>
      <w:r>
        <w:rPr>
          <w:rFonts w:hint="eastAsia" w:hAnsi="宋体" w:cs="宋体"/>
          <w:color w:val="auto"/>
          <w:sz w:val="22"/>
          <w:szCs w:val="22"/>
          <w:highlight w:val="none"/>
        </w:rPr>
        <w:t>、乙方所交的施工成果质量不符合合同规定及采购文件规定标准的，甲方有权拒收，乙方愿意更换及时整改但逾期交付的，按乙方逾期交付处理。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4、乙方未履行服务或甲方终止服务项目：</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乙方无故未履行服务，履约保证金将被没收并向甲方偿付违约金。违约金按合同总价的10-30%计算。</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甲方无故终止服务项目，退还履约保证金并向乙方偿付违约金。违约金的计算方法与乙方违约相同。</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5、履约保证金按付款方式及时退还，逾期支付，应向乙方偿付违约金，自逾期之日起，每逾一日违约罚款按履约保证金的0.2%计付，直至付款完成。</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7、经双方协商同意延期履约或延长履约保证金期限或同意终止且无需罚款者不在此例。</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十五、不可抗力事件处理</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1、在合同有效期内，任何一方因不可抗力事件导致不能履行合同，则合同履行期可延长，其延长期与不可抗力影响期相同。</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2、不可抗力事件发生后，应立即通知对方，并寄送有关权威机构出具的证明。</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3、不可抗力事件延续120天以上，双方应通过友好协商，确定是否继续履行合同。</w:t>
      </w:r>
    </w:p>
    <w:p>
      <w:pPr>
        <w:spacing w:after="0" w:line="400" w:lineRule="exact"/>
        <w:rPr>
          <w:rFonts w:ascii="宋体" w:hAnsi="宋体" w:cs="宋体"/>
          <w:color w:val="auto"/>
          <w:sz w:val="22"/>
          <w:szCs w:val="22"/>
          <w:highlight w:val="none"/>
        </w:rPr>
      </w:pPr>
      <w:r>
        <w:rPr>
          <w:rFonts w:hint="eastAsia" w:ascii="宋体" w:hAnsi="宋体" w:cs="宋体"/>
          <w:b/>
          <w:color w:val="auto"/>
          <w:sz w:val="22"/>
          <w:szCs w:val="22"/>
          <w:highlight w:val="none"/>
        </w:rPr>
        <w:t>十六、</w:t>
      </w:r>
      <w:r>
        <w:rPr>
          <w:rFonts w:hint="eastAsia" w:ascii="宋体" w:hAnsi="宋体" w:cs="宋体"/>
          <w:color w:val="auto"/>
          <w:sz w:val="22"/>
          <w:szCs w:val="22"/>
          <w:highlight w:val="none"/>
        </w:rPr>
        <w:t>合同解除</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1、因不可抗力（战争、地震等）导致合同无法履行，双方可解除合同。</w:t>
      </w:r>
    </w:p>
    <w:p>
      <w:pPr>
        <w:spacing w:after="0" w:line="40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2、乙方未履行服务，超过二周，视为无能力履约，双方可解除合同或甲方可单方面解除合同。</w:t>
      </w:r>
    </w:p>
    <w:p>
      <w:pPr>
        <w:spacing w:after="0" w:line="400" w:lineRule="exact"/>
        <w:rPr>
          <w:rFonts w:ascii="宋体" w:hAnsi="宋体" w:cs="宋体"/>
          <w:color w:val="auto"/>
          <w:sz w:val="22"/>
          <w:szCs w:val="22"/>
          <w:highlight w:val="none"/>
        </w:rPr>
      </w:pPr>
      <w:r>
        <w:rPr>
          <w:rFonts w:hint="eastAsia" w:ascii="宋体" w:hAnsi="宋体" w:cs="宋体"/>
          <w:b/>
          <w:color w:val="auto"/>
          <w:sz w:val="22"/>
          <w:szCs w:val="22"/>
          <w:highlight w:val="none"/>
        </w:rPr>
        <w:t>十七、</w:t>
      </w:r>
      <w:r>
        <w:rPr>
          <w:rFonts w:hint="eastAsia" w:ascii="宋体" w:hAnsi="宋体" w:cs="宋体"/>
          <w:color w:val="auto"/>
          <w:sz w:val="22"/>
          <w:szCs w:val="22"/>
          <w:highlight w:val="none"/>
        </w:rPr>
        <w:t>争端的解决</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合同实施或与合同有关的一切争端，甲乙双方首先应通过友好协商解决，如果协商仍得不到解决，任何一方可向温州市瓯海区人民法院申请诉讼。</w:t>
      </w:r>
    </w:p>
    <w:p>
      <w:pPr>
        <w:pStyle w:val="8"/>
        <w:snapToGrid w:val="0"/>
        <w:spacing w:after="0" w:line="400" w:lineRule="exact"/>
        <w:contextualSpacing/>
        <w:rPr>
          <w:rFonts w:hAnsi="宋体" w:cs="宋体"/>
          <w:b/>
          <w:color w:val="auto"/>
          <w:sz w:val="22"/>
          <w:szCs w:val="22"/>
          <w:highlight w:val="none"/>
        </w:rPr>
      </w:pPr>
      <w:r>
        <w:rPr>
          <w:rFonts w:hint="eastAsia" w:hAnsi="宋体" w:cs="宋体"/>
          <w:b/>
          <w:color w:val="auto"/>
          <w:sz w:val="22"/>
          <w:szCs w:val="22"/>
          <w:highlight w:val="none"/>
        </w:rPr>
        <w:t>十八、合同生效及其他</w:t>
      </w:r>
    </w:p>
    <w:p>
      <w:pPr>
        <w:pStyle w:val="8"/>
        <w:snapToGrid w:val="0"/>
        <w:spacing w:after="0" w:line="400" w:lineRule="exact"/>
        <w:ind w:firstLine="440" w:firstLineChars="200"/>
        <w:contextualSpacing/>
        <w:rPr>
          <w:rFonts w:hAnsi="宋体" w:cs="宋体"/>
          <w:color w:val="auto"/>
          <w:sz w:val="22"/>
          <w:szCs w:val="22"/>
          <w:highlight w:val="none"/>
        </w:rPr>
      </w:pPr>
      <w:r>
        <w:rPr>
          <w:rFonts w:hint="eastAsia" w:hAnsi="宋体" w:cs="宋体"/>
          <w:color w:val="auto"/>
          <w:sz w:val="22"/>
          <w:szCs w:val="22"/>
          <w:highlight w:val="none"/>
        </w:rPr>
        <w:t>1、本合同一式伍份，甲方两份、乙方两份、合同鉴证方壹份。合同经甲方、乙方、合同鉴证方签字盖章后生效。本项目竞争性磋商文件、磋商响应文件为本合同不可分割的组成部分，本合同未尽事宜从其规定，如遇国家法律、法规及政策另有规定的，从其规定。磋商响应文件内容违背或低于采购文件要求的以采购文件内容为准。上述文件内容或含义与本合同内容或含义冲突时，以本合同为准。</w:t>
      </w:r>
    </w:p>
    <w:p>
      <w:pPr>
        <w:spacing w:after="0"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2、如需修改或补充合同内容，经协商，双方应签署书面修改或补充协议，该协议将作为本合同的一个组成部分。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9"/>
        <w:gridCol w:w="5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9" w:type="dxa"/>
          </w:tcPr>
          <w:p>
            <w:pPr>
              <w:rPr>
                <w:rFonts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color w:val="auto"/>
                <w:sz w:val="22"/>
                <w:szCs w:val="22"/>
                <w:highlight w:val="none"/>
              </w:rPr>
              <w:t>甲方（盖章）：温州大学</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法人代表：赵敏</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委托代理人（签字）：</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联系电话：0577-86596037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开户名称：温州大学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税号：12330300792065186A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开户银行：工行马鞍池支行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账号：1203206009201055368</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单位地址：温州高教园区（瓯海区茶山镇）</w:t>
            </w:r>
          </w:p>
        </w:tc>
        <w:tc>
          <w:tcPr>
            <w:tcW w:w="5403" w:type="dxa"/>
          </w:tcPr>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乙方（盖章）：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法人代表：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委托代理人（签字）：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联系电话：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手    机：</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开户名称：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税号：开户银行（与发票一致）：账号（与发票一致）：</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单位地址： </w:t>
            </w:r>
          </w:p>
          <w:p>
            <w:pPr>
              <w:spacing w:after="0" w:line="400" w:lineRule="exac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2" w:type="dxa"/>
            <w:gridSpan w:val="2"/>
          </w:tcPr>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合同鉴证方（盖章）： </w:t>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法定代表人或主要负责人（签字）：</w:t>
            </w:r>
            <w:r>
              <w:rPr>
                <w:rFonts w:hint="eastAsia" w:ascii="宋体" w:hAnsi="宋体" w:cs="宋体"/>
                <w:color w:val="auto"/>
                <w:sz w:val="22"/>
                <w:szCs w:val="22"/>
                <w:highlight w:val="none"/>
              </w:rPr>
              <w:tab/>
            </w: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2" w:type="dxa"/>
            <w:gridSpan w:val="2"/>
          </w:tcPr>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合同签订日期：      年    月    日</w:t>
            </w:r>
          </w:p>
          <w:p>
            <w:pPr>
              <w:spacing w:after="0" w:line="400" w:lineRule="exact"/>
              <w:rPr>
                <w:rFonts w:ascii="宋体" w:hAnsi="宋体" w:cs="宋体"/>
                <w:color w:val="auto"/>
                <w:sz w:val="22"/>
                <w:szCs w:val="22"/>
                <w:highlight w:val="none"/>
              </w:rPr>
            </w:pPr>
          </w:p>
        </w:tc>
      </w:tr>
    </w:tbl>
    <w:p>
      <w:pPr>
        <w:spacing w:after="0" w:line="400" w:lineRule="exact"/>
        <w:rPr>
          <w:rFonts w:ascii="宋体" w:hAnsi="宋体" w:cs="宋体"/>
          <w:color w:val="auto"/>
          <w:sz w:val="22"/>
          <w:szCs w:val="22"/>
          <w:highlight w:val="none"/>
        </w:rPr>
      </w:pPr>
    </w:p>
    <w:p>
      <w:pPr>
        <w:spacing w:after="0" w:line="400" w:lineRule="exact"/>
        <w:ind w:firstLine="440" w:firstLineChars="200"/>
        <w:rPr>
          <w:rFonts w:ascii="宋体" w:hAnsi="宋体" w:cs="宋体"/>
          <w:color w:val="auto"/>
          <w:sz w:val="22"/>
          <w:szCs w:val="22"/>
          <w:highlight w:val="none"/>
        </w:rPr>
      </w:pPr>
    </w:p>
    <w:p>
      <w:pPr>
        <w:spacing w:after="0" w:line="400" w:lineRule="exact"/>
        <w:ind w:firstLine="440" w:firstLineChars="200"/>
        <w:rPr>
          <w:rFonts w:ascii="宋体" w:hAnsi="宋体" w:cs="宋体"/>
          <w:color w:val="auto"/>
          <w:sz w:val="22"/>
          <w:szCs w:val="22"/>
          <w:highlight w:val="none"/>
        </w:rPr>
      </w:pPr>
    </w:p>
    <w:p>
      <w:pPr>
        <w:spacing w:after="0" w:line="400" w:lineRule="exact"/>
        <w:rPr>
          <w:rFonts w:ascii="宋体" w:hAnsi="宋体" w:cs="宋体"/>
          <w:color w:val="auto"/>
          <w:sz w:val="22"/>
          <w:szCs w:val="22"/>
          <w:highlight w:val="none"/>
        </w:rPr>
      </w:pPr>
      <w:r>
        <w:rPr>
          <w:rFonts w:hint="eastAsia" w:ascii="宋体" w:hAnsi="宋体" w:cs="宋体"/>
          <w:color w:val="auto"/>
          <w:sz w:val="22"/>
          <w:szCs w:val="22"/>
          <w:highlight w:val="none"/>
        </w:rPr>
        <w:t>合同附件：</w:t>
      </w:r>
    </w:p>
    <w:p>
      <w:pPr>
        <w:spacing w:line="400" w:lineRule="exact"/>
        <w:jc w:val="left"/>
        <w:rPr>
          <w:rFonts w:ascii="宋体" w:hAnsi="宋体" w:cs="宋体"/>
          <w:bCs/>
          <w:color w:val="auto"/>
          <w:sz w:val="22"/>
          <w:szCs w:val="22"/>
          <w:highlight w:val="none"/>
        </w:rPr>
      </w:pPr>
      <w:r>
        <w:rPr>
          <w:rFonts w:hint="eastAsia" w:ascii="宋体" w:hAnsi="宋体" w:cs="宋体"/>
          <w:bCs/>
          <w:color w:val="auto"/>
          <w:sz w:val="22"/>
          <w:szCs w:val="22"/>
          <w:highlight w:val="none"/>
        </w:rPr>
        <w:t>服务内容：</w:t>
      </w:r>
    </w:p>
    <w:p>
      <w:pPr>
        <w:spacing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 xml:space="preserve">                              甲方申请人签字：</w:t>
      </w:r>
    </w:p>
    <w:p>
      <w:pPr>
        <w:spacing w:line="400" w:lineRule="exact"/>
        <w:ind w:firstLine="442" w:firstLineChars="200"/>
        <w:rPr>
          <w:rFonts w:ascii="宋体" w:hAnsi="宋体" w:cs="宋体"/>
          <w:b/>
          <w:color w:val="auto"/>
          <w:sz w:val="22"/>
          <w:szCs w:val="22"/>
          <w:highlight w:val="none"/>
          <w:u w:val="single"/>
        </w:rPr>
      </w:pPr>
      <w:r>
        <w:rPr>
          <w:rFonts w:hint="eastAsia" w:ascii="宋体" w:hAnsi="宋体" w:cs="宋体"/>
          <w:b/>
          <w:color w:val="auto"/>
          <w:sz w:val="22"/>
          <w:szCs w:val="22"/>
          <w:highlight w:val="none"/>
        </w:rPr>
        <w:t xml:space="preserve">                              联系电话：</w:t>
      </w:r>
    </w:p>
    <w:p>
      <w:pPr>
        <w:spacing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 xml:space="preserve">                              确认时间：</w:t>
      </w:r>
    </w:p>
    <w:p>
      <w:pPr>
        <w:spacing w:line="400" w:lineRule="exact"/>
        <w:ind w:firstLine="442" w:firstLineChars="200"/>
        <w:rPr>
          <w:rFonts w:ascii="宋体" w:hAnsi="宋体" w:cs="宋体"/>
          <w:color w:val="auto"/>
          <w:highlight w:val="none"/>
        </w:rPr>
      </w:pPr>
      <w:r>
        <w:rPr>
          <w:rFonts w:hint="eastAsia" w:ascii="宋体" w:hAnsi="宋体" w:cs="宋体"/>
          <w:b/>
          <w:color w:val="auto"/>
          <w:sz w:val="22"/>
          <w:szCs w:val="22"/>
          <w:highlight w:val="none"/>
        </w:rPr>
        <w:br w:type="page"/>
      </w:r>
    </w:p>
    <w:p>
      <w:pPr>
        <w:pStyle w:val="26"/>
        <w:spacing w:before="0" w:after="0"/>
        <w:rPr>
          <w:rFonts w:cs="宋体"/>
          <w:color w:val="auto"/>
          <w:highlight w:val="none"/>
        </w:rPr>
      </w:pPr>
      <w:r>
        <w:rPr>
          <w:rFonts w:hint="eastAsia" w:cs="宋体"/>
          <w:color w:val="auto"/>
          <w:highlight w:val="none"/>
        </w:rPr>
        <w:t xml:space="preserve">第五部分  </w:t>
      </w:r>
      <w:bookmarkStart w:id="39" w:name="_Toc118516258"/>
      <w:r>
        <w:rPr>
          <w:rFonts w:hint="eastAsia" w:cs="宋体"/>
          <w:color w:val="auto"/>
          <w:highlight w:val="none"/>
        </w:rPr>
        <w:t>附件(响应文件格式)</w:t>
      </w:r>
      <w:bookmarkEnd w:id="37"/>
      <w:bookmarkEnd w:id="39"/>
    </w:p>
    <w:p>
      <w:pPr>
        <w:pStyle w:val="8"/>
        <w:spacing w:after="0" w:line="360" w:lineRule="auto"/>
        <w:ind w:firstLine="480" w:firstLineChars="200"/>
        <w:rPr>
          <w:rFonts w:hAnsi="宋体" w:cs="宋体"/>
          <w:color w:val="auto"/>
          <w:sz w:val="24"/>
          <w:highlight w:val="none"/>
        </w:rPr>
      </w:pPr>
    </w:p>
    <w:p>
      <w:pPr>
        <w:pStyle w:val="8"/>
        <w:spacing w:after="0" w:line="360" w:lineRule="auto"/>
        <w:ind w:firstLine="418" w:firstLineChars="200"/>
        <w:rPr>
          <w:rFonts w:hAnsi="宋体" w:cs="宋体"/>
          <w:b/>
          <w:bCs/>
          <w:color w:val="auto"/>
          <w:spacing w:val="-6"/>
          <w:sz w:val="22"/>
          <w:szCs w:val="22"/>
          <w:highlight w:val="none"/>
        </w:rPr>
      </w:pPr>
      <w:r>
        <w:rPr>
          <w:rFonts w:hint="eastAsia" w:hAnsi="宋体" w:cs="宋体"/>
          <w:b/>
          <w:bCs/>
          <w:color w:val="auto"/>
          <w:spacing w:val="-6"/>
          <w:sz w:val="22"/>
          <w:szCs w:val="22"/>
          <w:highlight w:val="none"/>
        </w:rPr>
        <w:t>响应文件的编制应按照本项目：“第二部分  供应商须知”</w:t>
      </w:r>
      <w:r>
        <w:rPr>
          <w:rFonts w:hint="eastAsia" w:hAnsi="宋体" w:cs="宋体"/>
          <w:b/>
          <w:color w:val="auto"/>
          <w:sz w:val="22"/>
          <w:szCs w:val="22"/>
          <w:highlight w:val="none"/>
        </w:rPr>
        <w:t>响应文件的组成</w:t>
      </w:r>
      <w:r>
        <w:rPr>
          <w:rFonts w:hint="eastAsia" w:hAnsi="宋体" w:cs="宋体"/>
          <w:b/>
          <w:color w:val="auto"/>
          <w:spacing w:val="-6"/>
          <w:sz w:val="22"/>
          <w:szCs w:val="22"/>
          <w:highlight w:val="none"/>
        </w:rPr>
        <w:t>的要求编制。</w:t>
      </w:r>
    </w:p>
    <w:p>
      <w:pPr>
        <w:spacing w:after="0"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报价文件封面</w:t>
      </w:r>
    </w:p>
    <w:p>
      <w:pPr>
        <w:spacing w:after="0" w:line="360" w:lineRule="auto"/>
        <w:rPr>
          <w:rFonts w:ascii="宋体" w:hAnsi="宋体" w:cs="宋体"/>
          <w:color w:val="auto"/>
          <w:spacing w:val="-6"/>
          <w:sz w:val="24"/>
          <w:highlight w:val="none"/>
        </w:rPr>
      </w:pPr>
    </w:p>
    <w:p>
      <w:pPr>
        <w:spacing w:after="0" w:line="360" w:lineRule="auto"/>
        <w:jc w:val="center"/>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w:t>
      </w:r>
    </w:p>
    <w:p>
      <w:pPr>
        <w:spacing w:after="0"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报 价 文 件</w:t>
      </w:r>
    </w:p>
    <w:p>
      <w:pPr>
        <w:spacing w:after="0" w:line="360" w:lineRule="auto"/>
        <w:rPr>
          <w:rFonts w:ascii="宋体" w:hAnsi="宋体" w:cs="宋体"/>
          <w:bCs/>
          <w:color w:val="auto"/>
          <w:spacing w:val="-6"/>
          <w:sz w:val="24"/>
          <w:highlight w:val="none"/>
        </w:rPr>
      </w:pP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采购人名称：</w:t>
      </w:r>
      <w:r>
        <w:rPr>
          <w:rFonts w:hint="eastAsia" w:ascii="宋体" w:hAnsi="宋体" w:cs="宋体"/>
          <w:bCs/>
          <w:color w:val="auto"/>
          <w:spacing w:val="-6"/>
          <w:sz w:val="24"/>
          <w:szCs w:val="22"/>
          <w:highlight w:val="none"/>
        </w:rPr>
        <w:t>温州大学</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项目名称：温州市“松台别业”展陈项目</w:t>
      </w:r>
    </w:p>
    <w:p>
      <w:pPr>
        <w:spacing w:after="0" w:line="360" w:lineRule="auto"/>
        <w:rPr>
          <w:rFonts w:hint="eastAsia" w:ascii="宋体" w:hAnsi="宋体" w:eastAsia="宋体" w:cs="宋体"/>
          <w:bCs/>
          <w:color w:val="auto"/>
          <w:spacing w:val="-6"/>
          <w:sz w:val="24"/>
          <w:szCs w:val="22"/>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szCs w:val="22"/>
          <w:highlight w:val="none"/>
          <w:lang w:eastAsia="zh-CN"/>
        </w:rPr>
        <w:t>WZUZFFS-JZCS-20230003</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供应商名称（CA电子公章）：</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供应商地址：</w:t>
      </w:r>
    </w:p>
    <w:p>
      <w:pPr>
        <w:spacing w:after="0" w:line="360" w:lineRule="auto"/>
        <w:rPr>
          <w:rFonts w:ascii="宋体" w:hAnsi="宋体" w:cs="宋体"/>
          <w:bCs/>
          <w:color w:val="auto"/>
          <w:spacing w:val="-6"/>
          <w:sz w:val="24"/>
          <w:highlight w:val="none"/>
        </w:rPr>
      </w:pP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供应商授权代表签字：</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日期：    年  月  日</w:t>
      </w:r>
    </w:p>
    <w:p>
      <w:pPr>
        <w:rPr>
          <w:rFonts w:ascii="宋体" w:hAnsi="宋体" w:cs="宋体"/>
          <w:bCs/>
          <w:color w:val="auto"/>
          <w:spacing w:val="-6"/>
          <w:sz w:val="24"/>
          <w:highlight w:val="none"/>
        </w:rPr>
      </w:pPr>
      <w:r>
        <w:rPr>
          <w:rFonts w:hint="eastAsia" w:ascii="宋体" w:hAnsi="宋体" w:cs="宋体"/>
          <w:bCs/>
          <w:color w:val="auto"/>
          <w:spacing w:val="-6"/>
          <w:sz w:val="24"/>
          <w:highlight w:val="none"/>
        </w:rPr>
        <w:br w:type="page"/>
      </w:r>
    </w:p>
    <w:p>
      <w:pPr>
        <w:spacing w:after="0"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附件1</w:t>
      </w:r>
    </w:p>
    <w:p>
      <w:pPr>
        <w:adjustRightInd w:val="0"/>
        <w:spacing w:after="0" w:line="360" w:lineRule="auto"/>
        <w:ind w:firstLine="435"/>
        <w:jc w:val="center"/>
        <w:rPr>
          <w:rFonts w:ascii="宋体" w:hAnsi="宋体" w:cs="宋体"/>
          <w:b/>
          <w:color w:val="auto"/>
          <w:sz w:val="24"/>
          <w:szCs w:val="24"/>
          <w:highlight w:val="none"/>
        </w:rPr>
      </w:pPr>
      <w:r>
        <w:rPr>
          <w:rFonts w:hint="eastAsia" w:ascii="宋体" w:hAnsi="宋体" w:cs="宋体"/>
          <w:b/>
          <w:color w:val="auto"/>
          <w:sz w:val="24"/>
          <w:szCs w:val="24"/>
          <w:highlight w:val="none"/>
        </w:rPr>
        <w:t>磋商响应初始报价一览表</w:t>
      </w:r>
    </w:p>
    <w:p>
      <w:pPr>
        <w:spacing w:after="0"/>
        <w:rPr>
          <w:rFonts w:ascii="宋体" w:hAnsi="宋体" w:cs="宋体"/>
          <w:color w:val="auto"/>
          <w:sz w:val="24"/>
          <w:szCs w:val="24"/>
          <w:highlight w:val="none"/>
        </w:rPr>
      </w:pPr>
    </w:p>
    <w:p>
      <w:pPr>
        <w:pStyle w:val="8"/>
        <w:snapToGrid w:val="0"/>
        <w:spacing w:after="0" w:line="288" w:lineRule="auto"/>
        <w:ind w:firstLine="1210" w:firstLineChars="550"/>
        <w:jc w:val="right"/>
        <w:rPr>
          <w:rFonts w:hAnsi="宋体" w:cs="宋体"/>
          <w:color w:val="auto"/>
          <w:spacing w:val="-6"/>
          <w:sz w:val="22"/>
          <w:szCs w:val="22"/>
          <w:highlight w:val="none"/>
        </w:rPr>
      </w:pPr>
      <w:r>
        <w:rPr>
          <w:rFonts w:hint="eastAsia" w:hAnsi="宋体" w:cs="宋体"/>
          <w:color w:val="auto"/>
          <w:sz w:val="22"/>
          <w:szCs w:val="22"/>
          <w:highlight w:val="none"/>
        </w:rPr>
        <w:t xml:space="preserve">                          </w:t>
      </w:r>
      <w:r>
        <w:rPr>
          <w:rFonts w:hint="eastAsia" w:hAnsi="宋体" w:cs="宋体"/>
          <w:color w:val="auto"/>
          <w:spacing w:val="-6"/>
          <w:sz w:val="22"/>
          <w:szCs w:val="22"/>
          <w:highlight w:val="none"/>
        </w:rPr>
        <w:t>金额单位：人民币（元）</w:t>
      </w:r>
    </w:p>
    <w:p>
      <w:pPr>
        <w:pStyle w:val="8"/>
        <w:snapToGrid w:val="0"/>
        <w:spacing w:after="0" w:line="288" w:lineRule="auto"/>
        <w:ind w:firstLine="1144" w:firstLineChars="550"/>
        <w:jc w:val="right"/>
        <w:rPr>
          <w:rFonts w:hAnsi="宋体" w:cs="宋体"/>
          <w:color w:val="auto"/>
          <w:spacing w:val="-6"/>
          <w:sz w:val="22"/>
          <w:szCs w:val="22"/>
          <w:highlight w:val="none"/>
        </w:rPr>
      </w:pPr>
    </w:p>
    <w:tbl>
      <w:tblPr>
        <w:tblStyle w:val="33"/>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237"/>
        <w:gridCol w:w="401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5" w:type="dxa"/>
            <w:vAlign w:val="center"/>
          </w:tcPr>
          <w:p>
            <w:pPr>
              <w:pStyle w:val="8"/>
              <w:spacing w:after="0" w:line="400" w:lineRule="exact"/>
              <w:jc w:val="center"/>
              <w:rPr>
                <w:rFonts w:hAnsi="宋体" w:cs="宋体"/>
                <w:snapToGrid/>
                <w:color w:val="auto"/>
                <w:sz w:val="22"/>
                <w:szCs w:val="22"/>
                <w:highlight w:val="none"/>
              </w:rPr>
            </w:pPr>
            <w:r>
              <w:rPr>
                <w:rFonts w:hint="eastAsia" w:hAnsi="宋体" w:cs="宋体"/>
                <w:snapToGrid/>
                <w:color w:val="auto"/>
                <w:sz w:val="22"/>
                <w:szCs w:val="22"/>
                <w:highlight w:val="none"/>
              </w:rPr>
              <w:t>序号</w:t>
            </w:r>
          </w:p>
        </w:tc>
        <w:tc>
          <w:tcPr>
            <w:tcW w:w="3237" w:type="dxa"/>
            <w:vAlign w:val="center"/>
          </w:tcPr>
          <w:p>
            <w:pPr>
              <w:pStyle w:val="8"/>
              <w:spacing w:after="0" w:line="400" w:lineRule="exact"/>
              <w:jc w:val="center"/>
              <w:rPr>
                <w:rFonts w:hAnsi="宋体" w:cs="宋体"/>
                <w:snapToGrid/>
                <w:color w:val="auto"/>
                <w:sz w:val="22"/>
                <w:szCs w:val="22"/>
                <w:highlight w:val="none"/>
              </w:rPr>
            </w:pPr>
            <w:r>
              <w:rPr>
                <w:rFonts w:hint="eastAsia" w:hAnsi="宋体" w:cs="宋体"/>
                <w:snapToGrid/>
                <w:color w:val="auto"/>
                <w:sz w:val="22"/>
                <w:szCs w:val="22"/>
                <w:highlight w:val="none"/>
              </w:rPr>
              <w:t>项目名称</w:t>
            </w:r>
          </w:p>
        </w:tc>
        <w:tc>
          <w:tcPr>
            <w:tcW w:w="4016" w:type="dxa"/>
            <w:vAlign w:val="center"/>
          </w:tcPr>
          <w:p>
            <w:pPr>
              <w:pStyle w:val="8"/>
              <w:spacing w:after="0" w:line="400" w:lineRule="exact"/>
              <w:jc w:val="center"/>
              <w:rPr>
                <w:rFonts w:hAnsi="宋体" w:cs="宋体"/>
                <w:snapToGrid/>
                <w:color w:val="auto"/>
                <w:sz w:val="22"/>
                <w:szCs w:val="22"/>
                <w:highlight w:val="none"/>
              </w:rPr>
            </w:pPr>
            <w:r>
              <w:rPr>
                <w:rFonts w:hint="eastAsia" w:hAnsi="宋体" w:cs="宋体"/>
                <w:snapToGrid/>
                <w:color w:val="auto"/>
                <w:sz w:val="22"/>
                <w:szCs w:val="22"/>
                <w:highlight w:val="none"/>
              </w:rPr>
              <w:t>初次投标报价（元）</w:t>
            </w:r>
          </w:p>
        </w:tc>
        <w:tc>
          <w:tcPr>
            <w:tcW w:w="1676" w:type="dxa"/>
            <w:vAlign w:val="center"/>
          </w:tcPr>
          <w:p>
            <w:pPr>
              <w:pStyle w:val="8"/>
              <w:spacing w:line="400" w:lineRule="exact"/>
              <w:jc w:val="center"/>
              <w:rPr>
                <w:rFonts w:hAnsi="宋体" w:cs="宋体"/>
                <w:snapToGrid/>
                <w:color w:val="auto"/>
                <w:sz w:val="22"/>
                <w:szCs w:val="22"/>
                <w:highlight w:val="none"/>
              </w:rPr>
            </w:pPr>
            <w:r>
              <w:rPr>
                <w:rFonts w:hint="eastAsia"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85"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237" w:type="dxa"/>
            <w:vAlign w:val="center"/>
          </w:tcPr>
          <w:p>
            <w:pPr>
              <w:spacing w:line="400" w:lineRule="exact"/>
              <w:jc w:val="center"/>
              <w:rPr>
                <w:rFonts w:ascii="宋体" w:hAnsi="宋体" w:cs="宋体"/>
                <w:color w:val="auto"/>
                <w:sz w:val="22"/>
                <w:szCs w:val="22"/>
                <w:highlight w:val="none"/>
              </w:rPr>
            </w:pPr>
          </w:p>
        </w:tc>
        <w:tc>
          <w:tcPr>
            <w:tcW w:w="4016" w:type="dxa"/>
            <w:vAlign w:val="center"/>
          </w:tcPr>
          <w:p>
            <w:pPr>
              <w:pStyle w:val="8"/>
              <w:spacing w:after="0" w:line="400" w:lineRule="exact"/>
              <w:rPr>
                <w:rFonts w:hAnsi="宋体" w:cs="宋体"/>
                <w:snapToGrid/>
                <w:color w:val="auto"/>
                <w:sz w:val="22"/>
                <w:szCs w:val="22"/>
                <w:highlight w:val="none"/>
              </w:rPr>
            </w:pPr>
            <w:r>
              <w:rPr>
                <w:rFonts w:hint="eastAsia" w:hAnsi="宋体" w:cs="宋体"/>
                <w:snapToGrid/>
                <w:color w:val="auto"/>
                <w:sz w:val="22"/>
                <w:szCs w:val="22"/>
                <w:highlight w:val="none"/>
              </w:rPr>
              <w:t>大写：</w:t>
            </w:r>
          </w:p>
          <w:p>
            <w:pPr>
              <w:pStyle w:val="8"/>
              <w:spacing w:after="0" w:line="400" w:lineRule="exact"/>
              <w:rPr>
                <w:rFonts w:hAnsi="宋体" w:cs="宋体"/>
                <w:snapToGrid/>
                <w:color w:val="auto"/>
                <w:sz w:val="22"/>
                <w:szCs w:val="22"/>
                <w:highlight w:val="none"/>
              </w:rPr>
            </w:pPr>
            <w:r>
              <w:rPr>
                <w:rFonts w:hint="eastAsia" w:hAnsi="宋体" w:cs="宋体"/>
                <w:snapToGrid/>
                <w:color w:val="auto"/>
                <w:sz w:val="22"/>
                <w:szCs w:val="22"/>
                <w:highlight w:val="none"/>
              </w:rPr>
              <w:t>小写</w:t>
            </w:r>
          </w:p>
        </w:tc>
        <w:tc>
          <w:tcPr>
            <w:tcW w:w="1676" w:type="dxa"/>
            <w:vAlign w:val="center"/>
          </w:tcPr>
          <w:p>
            <w:pPr>
              <w:pStyle w:val="8"/>
              <w:spacing w:line="400" w:lineRule="exact"/>
              <w:jc w:val="left"/>
              <w:rPr>
                <w:rFonts w:hAnsi="宋体" w:cs="宋体"/>
                <w:snapToGrid/>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714" w:type="dxa"/>
            <w:gridSpan w:val="4"/>
            <w:tcBorders>
              <w:top w:val="single" w:color="auto" w:sz="4" w:space="0"/>
              <w:left w:val="single" w:color="auto" w:sz="4" w:space="0"/>
              <w:bottom w:val="single" w:color="auto" w:sz="4" w:space="0"/>
              <w:right w:val="single" w:color="auto" w:sz="4" w:space="0"/>
            </w:tcBorders>
            <w:vAlign w:val="center"/>
          </w:tcPr>
          <w:p>
            <w:pPr>
              <w:snapToGrid w:val="0"/>
              <w:spacing w:after="0" w:line="288" w:lineRule="auto"/>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备注</w:t>
            </w:r>
          </w:p>
        </w:tc>
      </w:tr>
    </w:tbl>
    <w:p>
      <w:pPr>
        <w:pStyle w:val="8"/>
        <w:snapToGrid w:val="0"/>
        <w:spacing w:after="0" w:line="288" w:lineRule="auto"/>
        <w:ind w:firstLine="1144" w:firstLineChars="550"/>
        <w:jc w:val="right"/>
        <w:rPr>
          <w:rFonts w:hAnsi="宋体" w:cs="宋体"/>
          <w:color w:val="auto"/>
          <w:spacing w:val="-6"/>
          <w:sz w:val="22"/>
          <w:szCs w:val="22"/>
          <w:highlight w:val="none"/>
        </w:rPr>
      </w:pPr>
    </w:p>
    <w:p>
      <w:pPr>
        <w:adjustRightInd w:val="0"/>
        <w:spacing w:after="0" w:line="360" w:lineRule="exact"/>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注：</w:t>
      </w:r>
    </w:p>
    <w:p>
      <w:pPr>
        <w:pStyle w:val="105"/>
        <w:spacing w:after="0" w:line="360" w:lineRule="auto"/>
        <w:rPr>
          <w:rFonts w:hAnsi="宋体" w:eastAsia="宋体" w:cs="宋体"/>
          <w:color w:val="auto"/>
          <w:sz w:val="22"/>
          <w:highlight w:val="none"/>
        </w:rPr>
      </w:pPr>
      <w:r>
        <w:rPr>
          <w:rFonts w:hint="eastAsia" w:hAnsi="宋体" w:eastAsia="宋体" w:cs="宋体"/>
          <w:color w:val="auto"/>
          <w:spacing w:val="-6"/>
          <w:sz w:val="22"/>
          <w:szCs w:val="22"/>
          <w:highlight w:val="none"/>
        </w:rPr>
        <w:t>1.</w:t>
      </w:r>
      <w:r>
        <w:rPr>
          <w:rFonts w:hint="eastAsia" w:hAnsi="宋体" w:eastAsia="宋体" w:cs="宋体"/>
          <w:color w:val="auto"/>
          <w:sz w:val="22"/>
          <w:highlight w:val="none"/>
        </w:rPr>
        <w:t>此栏内初次投标报价应与“初始报价明细表”中投标总价相一致。</w:t>
      </w:r>
    </w:p>
    <w:p>
      <w:pPr>
        <w:pStyle w:val="18"/>
        <w:spacing w:after="0" w:line="360" w:lineRule="auto"/>
        <w:ind w:left="0" w:right="0" w:rightChars="0"/>
        <w:rPr>
          <w:rFonts w:cs="宋体"/>
          <w:color w:val="auto"/>
          <w:spacing w:val="-6"/>
          <w:sz w:val="22"/>
          <w:szCs w:val="22"/>
          <w:highlight w:val="none"/>
        </w:rPr>
      </w:pPr>
      <w:r>
        <w:rPr>
          <w:rFonts w:hint="eastAsia" w:cs="宋体"/>
          <w:color w:val="auto"/>
          <w:spacing w:val="-6"/>
          <w:sz w:val="22"/>
          <w:szCs w:val="22"/>
          <w:highlight w:val="none"/>
        </w:rPr>
        <w:t>2.客户端填写的报价与以pdf格式上传文件中的报价不一致的，应以Pdf格式上传文件中的报价为准。</w:t>
      </w:r>
    </w:p>
    <w:p>
      <w:pPr>
        <w:pStyle w:val="18"/>
        <w:spacing w:after="0" w:line="360" w:lineRule="auto"/>
        <w:ind w:left="0" w:right="0" w:rightChars="0"/>
        <w:rPr>
          <w:rFonts w:cs="宋体"/>
          <w:color w:val="auto"/>
          <w:spacing w:val="-6"/>
          <w:sz w:val="22"/>
          <w:highlight w:val="none"/>
          <w:u w:val="single"/>
        </w:rPr>
      </w:pPr>
      <w:r>
        <w:rPr>
          <w:rFonts w:hint="eastAsia" w:cs="宋体"/>
          <w:color w:val="auto"/>
          <w:spacing w:val="-6"/>
          <w:sz w:val="22"/>
          <w:szCs w:val="22"/>
          <w:highlight w:val="none"/>
        </w:rPr>
        <w:t>3.</w:t>
      </w:r>
      <w:r>
        <w:rPr>
          <w:rFonts w:hint="eastAsia" w:cs="宋体"/>
          <w:color w:val="auto"/>
          <w:sz w:val="22"/>
          <w:highlight w:val="none"/>
          <w:u w:val="single"/>
        </w:rPr>
        <w:t>▲</w:t>
      </w:r>
      <w:r>
        <w:rPr>
          <w:rFonts w:hint="eastAsia" w:cs="宋体"/>
          <w:color w:val="auto"/>
          <w:spacing w:val="-6"/>
          <w:sz w:val="22"/>
          <w:highlight w:val="none"/>
          <w:u w:val="single"/>
        </w:rPr>
        <w:t>不提供报价明细表将视为没有明确响应采购文件。</w:t>
      </w:r>
    </w:p>
    <w:p>
      <w:pPr>
        <w:adjustRightInd w:val="0"/>
        <w:spacing w:after="0" w:line="360" w:lineRule="auto"/>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4.采购人委托的第三方咨询公司审价单位对项目审价完成后，按照实际发生服务工作量结算。</w:t>
      </w:r>
    </w:p>
    <w:p>
      <w:pPr>
        <w:adjustRightInd w:val="0"/>
        <w:spacing w:after="0" w:line="360" w:lineRule="auto"/>
        <w:jc w:val="left"/>
        <w:rPr>
          <w:rFonts w:ascii="宋体" w:hAnsi="宋体" w:cs="宋体"/>
          <w:color w:val="auto"/>
          <w:sz w:val="22"/>
          <w:szCs w:val="22"/>
          <w:highlight w:val="none"/>
        </w:rPr>
      </w:pP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b/>
          <w:color w:val="auto"/>
          <w:sz w:val="24"/>
          <w:szCs w:val="24"/>
          <w:highlight w:val="none"/>
        </w:rPr>
      </w:pPr>
      <w:r>
        <w:rPr>
          <w:rFonts w:hint="eastAsia" w:ascii="宋体" w:hAnsi="宋体" w:cs="宋体"/>
          <w:color w:val="auto"/>
          <w:sz w:val="22"/>
          <w:szCs w:val="22"/>
          <w:highlight w:val="none"/>
        </w:rPr>
        <w:br w:type="page"/>
      </w:r>
      <w:r>
        <w:rPr>
          <w:rFonts w:hint="eastAsia" w:ascii="宋体" w:hAnsi="宋体" w:cs="宋体"/>
          <w:b/>
          <w:color w:val="auto"/>
          <w:sz w:val="24"/>
          <w:szCs w:val="24"/>
          <w:highlight w:val="none"/>
        </w:rPr>
        <w:t>附件2</w:t>
      </w:r>
    </w:p>
    <w:p>
      <w:pPr>
        <w:pStyle w:val="105"/>
        <w:spacing w:after="0"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初始报价明细表</w:t>
      </w:r>
    </w:p>
    <w:p>
      <w:pPr>
        <w:pStyle w:val="8"/>
        <w:snapToGrid w:val="0"/>
        <w:spacing w:after="0" w:line="288" w:lineRule="auto"/>
        <w:ind w:firstLine="1144" w:firstLineChars="550"/>
        <w:jc w:val="right"/>
        <w:rPr>
          <w:rFonts w:hAnsi="宋体" w:cs="宋体"/>
          <w:color w:val="auto"/>
          <w:spacing w:val="-6"/>
          <w:sz w:val="22"/>
          <w:szCs w:val="22"/>
          <w:highlight w:val="none"/>
        </w:rPr>
      </w:pPr>
      <w:r>
        <w:rPr>
          <w:rFonts w:hint="eastAsia" w:hAnsi="宋体" w:cs="宋体"/>
          <w:color w:val="auto"/>
          <w:spacing w:val="-6"/>
          <w:sz w:val="22"/>
          <w:szCs w:val="22"/>
          <w:highlight w:val="none"/>
        </w:rPr>
        <w:t>金额单位：人民币（元）</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2460"/>
        <w:gridCol w:w="3262"/>
        <w:gridCol w:w="1434"/>
        <w:gridCol w:w="960"/>
        <w:gridCol w:w="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序号</w:t>
            </w:r>
          </w:p>
        </w:tc>
        <w:tc>
          <w:tcPr>
            <w:tcW w:w="24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服务名称</w:t>
            </w:r>
          </w:p>
        </w:tc>
        <w:tc>
          <w:tcPr>
            <w:tcW w:w="3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具体要求</w:t>
            </w:r>
          </w:p>
        </w:tc>
        <w:tc>
          <w:tcPr>
            <w:tcW w:w="14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数量及单位</w:t>
            </w:r>
          </w:p>
        </w:tc>
        <w:tc>
          <w:tcPr>
            <w:tcW w:w="9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单价</w:t>
            </w:r>
          </w:p>
        </w:tc>
        <w:tc>
          <w:tcPr>
            <w:tcW w:w="9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1</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展陈设计费</w:t>
            </w:r>
          </w:p>
        </w:tc>
        <w:tc>
          <w:tcPr>
            <w:tcW w:w="326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color w:val="auto"/>
                <w:kern w:val="0"/>
                <w:szCs w:val="21"/>
                <w:highlight w:val="none"/>
              </w:rPr>
            </w:pPr>
            <w:r>
              <w:rPr>
                <w:rFonts w:hint="eastAsia"/>
                <w:color w:val="auto"/>
                <w:kern w:val="0"/>
                <w:szCs w:val="21"/>
                <w:highlight w:val="none"/>
              </w:rPr>
              <w:t>包括空间效果图设计、深化设计施工图、陈列展示平面设计、文案策划、软装设计</w:t>
            </w: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2</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空间功能规划</w:t>
            </w:r>
          </w:p>
        </w:tc>
        <w:tc>
          <w:tcPr>
            <w:tcW w:w="326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color w:val="auto"/>
                <w:kern w:val="0"/>
                <w:szCs w:val="21"/>
                <w:highlight w:val="none"/>
              </w:rPr>
            </w:pPr>
            <w:r>
              <w:rPr>
                <w:rFonts w:hint="eastAsia"/>
                <w:color w:val="auto"/>
                <w:kern w:val="0"/>
                <w:szCs w:val="21"/>
                <w:highlight w:val="none"/>
              </w:rPr>
              <w:t>展示区；储藏室；服务台；操作间、卫生间、办公室；互动交流区；户外交流区；</w:t>
            </w: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3</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展陈内容制作</w:t>
            </w:r>
          </w:p>
        </w:tc>
        <w:tc>
          <w:tcPr>
            <w:tcW w:w="326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color w:val="auto"/>
                <w:kern w:val="0"/>
                <w:szCs w:val="21"/>
                <w:highlight w:val="none"/>
              </w:rPr>
            </w:pPr>
            <w:r>
              <w:rPr>
                <w:rFonts w:hint="eastAsia"/>
                <w:color w:val="auto"/>
                <w:kern w:val="0"/>
                <w:szCs w:val="21"/>
                <w:highlight w:val="none"/>
              </w:rPr>
              <w:t>展板制作，展陈内容制作；精品画框若干；展品制作采购；精品展柜8组；装饰柜1组；高仿名人字画10套；</w:t>
            </w: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4</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电子化设备</w:t>
            </w:r>
          </w:p>
        </w:tc>
        <w:tc>
          <w:tcPr>
            <w:tcW w:w="326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color w:val="auto"/>
                <w:kern w:val="0"/>
                <w:szCs w:val="21"/>
                <w:highlight w:val="none"/>
              </w:rPr>
            </w:pPr>
            <w:r>
              <w:rPr>
                <w:rFonts w:hint="eastAsia"/>
                <w:color w:val="auto"/>
                <w:kern w:val="0"/>
                <w:szCs w:val="21"/>
                <w:highlight w:val="none"/>
              </w:rPr>
              <w:t>多媒体设备采购软件应用编程及展示内容制作；激光电视；监控；音响设备；信息网络系统；</w:t>
            </w: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5</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color w:val="auto"/>
                <w:kern w:val="0"/>
                <w:szCs w:val="21"/>
                <w:highlight w:val="none"/>
              </w:rPr>
            </w:pPr>
            <w:r>
              <w:rPr>
                <w:rFonts w:hint="eastAsia"/>
                <w:color w:val="auto"/>
                <w:kern w:val="0"/>
                <w:szCs w:val="21"/>
                <w:highlight w:val="none"/>
              </w:rPr>
              <w:t>软装采购</w:t>
            </w:r>
          </w:p>
        </w:tc>
        <w:tc>
          <w:tcPr>
            <w:tcW w:w="326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color w:val="auto"/>
                <w:kern w:val="0"/>
                <w:szCs w:val="21"/>
                <w:highlight w:val="none"/>
              </w:rPr>
            </w:pPr>
            <w:r>
              <w:rPr>
                <w:rFonts w:hint="eastAsia"/>
                <w:color w:val="auto"/>
                <w:kern w:val="0"/>
                <w:szCs w:val="21"/>
                <w:highlight w:val="none"/>
              </w:rPr>
              <w:t>装饰品若干、装饰绿植4组、窗帘；</w:t>
            </w: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6</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color w:val="auto"/>
                <w:kern w:val="0"/>
                <w:szCs w:val="21"/>
                <w:highlight w:val="none"/>
              </w:rPr>
            </w:pPr>
            <w:r>
              <w:rPr>
                <w:rFonts w:hint="eastAsia"/>
                <w:color w:val="auto"/>
                <w:kern w:val="0"/>
                <w:szCs w:val="21"/>
                <w:highlight w:val="none"/>
              </w:rPr>
              <w:t>水暖系统</w:t>
            </w:r>
          </w:p>
        </w:tc>
        <w:tc>
          <w:tcPr>
            <w:tcW w:w="326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color w:val="auto"/>
                <w:kern w:val="0"/>
                <w:szCs w:val="21"/>
                <w:highlight w:val="none"/>
              </w:rPr>
            </w:pPr>
            <w:r>
              <w:rPr>
                <w:rFonts w:hint="eastAsia"/>
                <w:color w:val="auto"/>
                <w:kern w:val="0"/>
                <w:szCs w:val="21"/>
                <w:highlight w:val="none"/>
              </w:rPr>
              <w:t>中央空调系统；消水消电改造；</w:t>
            </w: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7</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color w:val="auto"/>
                <w:kern w:val="0"/>
                <w:szCs w:val="21"/>
                <w:highlight w:val="none"/>
              </w:rPr>
            </w:pPr>
            <w:r>
              <w:rPr>
                <w:rFonts w:hint="eastAsia"/>
                <w:color w:val="auto"/>
                <w:kern w:val="0"/>
                <w:szCs w:val="21"/>
                <w:highlight w:val="none"/>
              </w:rPr>
              <w:t>施工费</w:t>
            </w:r>
          </w:p>
        </w:tc>
        <w:tc>
          <w:tcPr>
            <w:tcW w:w="3262"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center"/>
              <w:rPr>
                <w:color w:val="auto"/>
                <w:kern w:val="0"/>
                <w:szCs w:val="21"/>
                <w:highlight w:val="none"/>
              </w:rPr>
            </w:pP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360" w:lineRule="exact"/>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8</w:t>
            </w:r>
          </w:p>
        </w:tc>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lang w:eastAsia="zh-Hans"/>
              </w:rPr>
              <w:t>总承包其他费</w:t>
            </w:r>
          </w:p>
        </w:tc>
        <w:tc>
          <w:tcPr>
            <w:tcW w:w="3262"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r>
              <w:rPr>
                <w:rFonts w:hint="eastAsia"/>
                <w:color w:val="auto"/>
                <w:kern w:val="0"/>
                <w:szCs w:val="21"/>
                <w:highlight w:val="none"/>
              </w:rPr>
              <w:t>管理费、税金、暂列金额</w:t>
            </w:r>
          </w:p>
        </w:tc>
        <w:tc>
          <w:tcPr>
            <w:tcW w:w="1434"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c>
          <w:tcPr>
            <w:tcW w:w="960" w:type="dxa"/>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center"/>
              <w:rPr>
                <w:rFonts w:ascii="宋体" w:hAnsi="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7"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after="0" w:line="360" w:lineRule="exact"/>
              <w:jc w:val="left"/>
              <w:rPr>
                <w:rFonts w:ascii="宋体" w:hAnsi="宋体" w:cs="宋体"/>
                <w:color w:val="auto"/>
                <w:spacing w:val="-6"/>
                <w:sz w:val="22"/>
                <w:szCs w:val="22"/>
                <w:highlight w:val="none"/>
                <w:u w:val="single"/>
              </w:rPr>
            </w:pPr>
            <w:r>
              <w:rPr>
                <w:rFonts w:hint="eastAsia" w:ascii="宋体" w:hAnsi="宋体" w:cs="宋体"/>
                <w:color w:val="auto"/>
                <w:spacing w:val="-6"/>
                <w:sz w:val="22"/>
                <w:szCs w:val="22"/>
                <w:highlight w:val="none"/>
              </w:rPr>
              <w:t>投标总价：小写：</w:t>
            </w:r>
          </w:p>
          <w:p>
            <w:pPr>
              <w:tabs>
                <w:tab w:val="left" w:pos="1418"/>
              </w:tabs>
              <w:snapToGrid w:val="0"/>
              <w:spacing w:after="0" w:line="360" w:lineRule="exact"/>
              <w:ind w:firstLine="1040" w:firstLineChars="500"/>
              <w:jc w:val="lef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大写：</w:t>
            </w:r>
          </w:p>
        </w:tc>
      </w:tr>
    </w:tbl>
    <w:p>
      <w:pPr>
        <w:pStyle w:val="8"/>
        <w:snapToGrid w:val="0"/>
        <w:spacing w:after="0" w:line="360" w:lineRule="exact"/>
        <w:ind w:firstLine="1144" w:firstLineChars="550"/>
        <w:jc w:val="right"/>
        <w:rPr>
          <w:rFonts w:hAnsi="宋体" w:cs="宋体"/>
          <w:color w:val="auto"/>
          <w:spacing w:val="-6"/>
          <w:sz w:val="22"/>
          <w:szCs w:val="22"/>
          <w:highlight w:val="none"/>
        </w:rPr>
      </w:pPr>
    </w:p>
    <w:p>
      <w:p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备注：</w:t>
      </w:r>
    </w:p>
    <w:p>
      <w:pPr>
        <w:numPr>
          <w:ilvl w:val="0"/>
          <w:numId w:val="17"/>
        </w:numPr>
        <w:spacing w:after="0" w:line="360" w:lineRule="exact"/>
        <w:rPr>
          <w:rFonts w:ascii="Calibri" w:hAnsi="Calibri"/>
          <w:b/>
          <w:bCs/>
          <w:color w:val="auto"/>
          <w:sz w:val="20"/>
          <w:highlight w:val="none"/>
          <w:u w:val="single"/>
        </w:rPr>
      </w:pPr>
      <w:r>
        <w:rPr>
          <w:rFonts w:hint="eastAsia" w:ascii="宋体" w:hAnsi="宋体" w:cs="宋体"/>
          <w:b/>
          <w:bCs/>
          <w:color w:val="auto"/>
          <w:sz w:val="22"/>
          <w:szCs w:val="22"/>
          <w:highlight w:val="none"/>
        </w:rPr>
        <w:t>后附已标价项目清单。供应商应结合项目实际，按照采购人提供的项目清单进行报价，供应商不得修改项目清单的数量和内容，但可根据项目的设计和施工组织方案，通过单独增列清单项目进行调整。</w:t>
      </w:r>
    </w:p>
    <w:p>
      <w:pPr>
        <w:numPr>
          <w:ilvl w:val="0"/>
          <w:numId w:val="17"/>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“报价明细表”内“投标总价”应与附件1“报价一览表”中“投标报价”相一致。</w:t>
      </w:r>
    </w:p>
    <w:p>
      <w:pPr>
        <w:numPr>
          <w:ilvl w:val="0"/>
          <w:numId w:val="17"/>
        </w:numPr>
        <w:spacing w:after="0" w:line="360" w:lineRule="exact"/>
        <w:rPr>
          <w:rFonts w:ascii="宋体" w:hAnsi="宋体" w:cs="宋体"/>
          <w:color w:val="auto"/>
          <w:sz w:val="22"/>
          <w:szCs w:val="22"/>
          <w:highlight w:val="none"/>
        </w:rPr>
      </w:pPr>
      <w:r>
        <w:rPr>
          <w:rFonts w:hint="eastAsia" w:ascii="宋体" w:hAnsi="宋体" w:cs="宋体"/>
          <w:color w:val="auto"/>
          <w:sz w:val="22"/>
          <w:szCs w:val="22"/>
          <w:highlight w:val="none"/>
        </w:rPr>
        <w:t>如果含在服务价格中则填“含”，如无此项内容则填“无”，不留空白。此表供应商可根据实际需求自行编制。</w:t>
      </w:r>
    </w:p>
    <w:p>
      <w:pPr>
        <w:numPr>
          <w:ilvl w:val="0"/>
          <w:numId w:val="17"/>
        </w:numPr>
        <w:spacing w:after="0" w:line="360" w:lineRule="exact"/>
        <w:outlineLvl w:val="0"/>
        <w:rPr>
          <w:rFonts w:ascii="宋体" w:hAnsi="宋体" w:cs="宋体"/>
          <w:color w:val="auto"/>
          <w:spacing w:val="-6"/>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pacing w:val="-6"/>
          <w:sz w:val="22"/>
          <w:szCs w:val="22"/>
          <w:highlight w:val="none"/>
          <w:u w:val="single"/>
        </w:rPr>
        <w:t>不提供报价明细表将视为没有明确响应采购文件。</w:t>
      </w:r>
    </w:p>
    <w:p>
      <w:pPr>
        <w:numPr>
          <w:ilvl w:val="0"/>
          <w:numId w:val="17"/>
        </w:numPr>
        <w:spacing w:after="0" w:line="360" w:lineRule="exact"/>
        <w:outlineLvl w:val="0"/>
        <w:rPr>
          <w:rFonts w:ascii="宋体" w:hAnsi="宋体" w:cs="宋体"/>
          <w:color w:val="auto"/>
          <w:sz w:val="22"/>
          <w:szCs w:val="22"/>
          <w:highlight w:val="none"/>
        </w:rPr>
      </w:pPr>
      <w:r>
        <w:rPr>
          <w:rFonts w:hint="eastAsia" w:ascii="宋体" w:hAnsi="宋体" w:cs="宋体"/>
          <w:color w:val="auto"/>
          <w:sz w:val="22"/>
          <w:szCs w:val="22"/>
          <w:highlight w:val="none"/>
        </w:rPr>
        <w:t>在中标或者成交公告的内容中增加本表，请各供应商认真填写，确保报价数据的真实性、完整性和合理性。</w:t>
      </w:r>
    </w:p>
    <w:p>
      <w:pPr>
        <w:pStyle w:val="111"/>
        <w:spacing w:after="0" w:line="360" w:lineRule="auto"/>
        <w:rPr>
          <w:rFonts w:ascii="宋体" w:hAnsi="宋体" w:eastAsia="宋体" w:cs="宋体"/>
          <w:color w:val="auto"/>
          <w:sz w:val="22"/>
          <w:szCs w:val="22"/>
          <w:highlight w:val="none"/>
        </w:rPr>
      </w:pP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spacing w:line="360" w:lineRule="auto"/>
        <w:jc w:val="center"/>
        <w:rPr>
          <w:rFonts w:ascii="宋体" w:hAnsi="宋体" w:cs="宋体"/>
          <w:b/>
          <w:bCs/>
          <w:color w:val="auto"/>
          <w:kern w:val="0"/>
          <w:sz w:val="28"/>
          <w:szCs w:val="28"/>
          <w:highlight w:val="none"/>
          <w:shd w:val="clear" w:color="auto" w:fill="FFFFFF"/>
        </w:rPr>
      </w:pPr>
      <w:r>
        <w:rPr>
          <w:rFonts w:hint="eastAsia" w:ascii="宋体" w:hAnsi="宋体" w:cs="宋体"/>
          <w:b/>
          <w:bCs/>
          <w:color w:val="auto"/>
          <w:kern w:val="0"/>
          <w:sz w:val="28"/>
          <w:szCs w:val="28"/>
          <w:highlight w:val="none"/>
          <w:shd w:val="clear" w:color="auto" w:fill="FFFFFF"/>
        </w:rPr>
        <w:t>投标报价部分其他内容（如有）</w:t>
      </w:r>
    </w:p>
    <w:p>
      <w:pPr>
        <w:spacing w:line="360" w:lineRule="auto"/>
        <w:ind w:firstLine="442" w:firstLineChars="200"/>
        <w:rPr>
          <w:rFonts w:ascii="宋体" w:hAnsi="宋体" w:cs="宋体"/>
          <w:b/>
          <w:bCs/>
          <w:color w:val="auto"/>
          <w:sz w:val="22"/>
          <w:szCs w:val="22"/>
          <w:highlight w:val="none"/>
        </w:rPr>
      </w:pPr>
    </w:p>
    <w:p>
      <w:pPr>
        <w:spacing w:line="360" w:lineRule="auto"/>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rPr>
          <w:rFonts w:ascii="宋体" w:hAnsi="宋体" w:cs="宋体"/>
          <w:color w:val="auto"/>
          <w:spacing w:val="-6"/>
          <w:sz w:val="24"/>
          <w:highlight w:val="none"/>
        </w:rPr>
      </w:pPr>
      <w:r>
        <w:rPr>
          <w:rFonts w:hint="eastAsia" w:ascii="宋体" w:hAnsi="宋体" w:cs="宋体"/>
          <w:color w:val="auto"/>
          <w:spacing w:val="-6"/>
          <w:sz w:val="24"/>
          <w:highlight w:val="none"/>
        </w:rPr>
        <w:br w:type="page"/>
      </w:r>
    </w:p>
    <w:p>
      <w:pPr>
        <w:spacing w:after="0"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资格文件封面</w:t>
      </w:r>
    </w:p>
    <w:p>
      <w:pPr>
        <w:spacing w:after="0" w:line="360" w:lineRule="auto"/>
        <w:jc w:val="center"/>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w:t>
      </w:r>
    </w:p>
    <w:p>
      <w:pPr>
        <w:spacing w:after="0"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资 格 文 件</w:t>
      </w:r>
    </w:p>
    <w:p>
      <w:pPr>
        <w:spacing w:after="0" w:line="360" w:lineRule="auto"/>
        <w:rPr>
          <w:rFonts w:ascii="宋体" w:hAnsi="宋体" w:cs="宋体"/>
          <w:bCs/>
          <w:color w:val="auto"/>
          <w:spacing w:val="-6"/>
          <w:sz w:val="24"/>
          <w:highlight w:val="none"/>
        </w:rPr>
      </w:pP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采购人名称：</w:t>
      </w:r>
      <w:r>
        <w:rPr>
          <w:rFonts w:hint="eastAsia" w:ascii="宋体" w:hAnsi="宋体" w:cs="宋体"/>
          <w:bCs/>
          <w:color w:val="auto"/>
          <w:spacing w:val="-6"/>
          <w:sz w:val="24"/>
          <w:szCs w:val="22"/>
          <w:highlight w:val="none"/>
        </w:rPr>
        <w:t>温州大学</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项目名称：温州市“松台别业”展陈项目</w:t>
      </w:r>
    </w:p>
    <w:p>
      <w:pPr>
        <w:spacing w:after="0" w:line="360" w:lineRule="auto"/>
        <w:rPr>
          <w:rFonts w:hint="eastAsia" w:ascii="宋体" w:hAnsi="宋体" w:eastAsia="宋体" w:cs="宋体"/>
          <w:bCs/>
          <w:color w:val="auto"/>
          <w:spacing w:val="-6"/>
          <w:sz w:val="24"/>
          <w:szCs w:val="22"/>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szCs w:val="22"/>
          <w:highlight w:val="none"/>
          <w:lang w:eastAsia="zh-CN"/>
        </w:rPr>
        <w:t>WZUZFFS-JZCS-20230003</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供应商名称（CA电子公章）：</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供应商地址：</w:t>
      </w:r>
    </w:p>
    <w:p>
      <w:pPr>
        <w:spacing w:after="0" w:line="360" w:lineRule="auto"/>
        <w:rPr>
          <w:rFonts w:ascii="宋体" w:hAnsi="宋体" w:cs="宋体"/>
          <w:bCs/>
          <w:color w:val="auto"/>
          <w:spacing w:val="-6"/>
          <w:sz w:val="24"/>
          <w:highlight w:val="none"/>
        </w:rPr>
      </w:pP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供应商授权代表签字：</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日期：    年  月  日</w:t>
      </w:r>
    </w:p>
    <w:p>
      <w:pPr>
        <w:rPr>
          <w:rFonts w:ascii="宋体" w:hAnsi="宋体" w:cs="宋体"/>
          <w:bCs/>
          <w:color w:val="auto"/>
          <w:spacing w:val="-6"/>
          <w:sz w:val="24"/>
          <w:highlight w:val="none"/>
        </w:rPr>
      </w:pPr>
      <w:r>
        <w:rPr>
          <w:rFonts w:hint="eastAsia" w:ascii="宋体" w:hAnsi="宋体" w:cs="宋体"/>
          <w:bCs/>
          <w:color w:val="auto"/>
          <w:spacing w:val="-6"/>
          <w:sz w:val="24"/>
          <w:highlight w:val="none"/>
        </w:rPr>
        <w:br w:type="page"/>
      </w:r>
    </w:p>
    <w:p>
      <w:pPr>
        <w:spacing w:after="0" w:line="360" w:lineRule="atLeast"/>
        <w:rPr>
          <w:rFonts w:ascii="宋体" w:hAnsi="宋体" w:cs="宋体"/>
          <w:color w:val="auto"/>
          <w:sz w:val="28"/>
          <w:szCs w:val="28"/>
          <w:highlight w:val="none"/>
        </w:rPr>
      </w:pPr>
      <w:r>
        <w:rPr>
          <w:rFonts w:hint="eastAsia" w:ascii="宋体" w:hAnsi="宋体" w:cs="宋体"/>
          <w:b/>
          <w:color w:val="auto"/>
          <w:sz w:val="24"/>
          <w:szCs w:val="24"/>
          <w:highlight w:val="none"/>
        </w:rPr>
        <w:t xml:space="preserve">附件3                       </w:t>
      </w:r>
      <w:r>
        <w:rPr>
          <w:rFonts w:hint="eastAsia" w:ascii="宋体" w:hAnsi="宋体" w:cs="宋体"/>
          <w:b/>
          <w:bCs/>
          <w:color w:val="auto"/>
          <w:sz w:val="28"/>
          <w:szCs w:val="28"/>
          <w:highlight w:val="none"/>
        </w:rPr>
        <w:t>资格审查证明材料</w:t>
      </w:r>
    </w:p>
    <w:p>
      <w:pPr>
        <w:spacing w:after="0" w:line="360" w:lineRule="auto"/>
        <w:ind w:left="723" w:hanging="723" w:hangingChars="300"/>
        <w:rPr>
          <w:rFonts w:ascii="宋体" w:hAnsi="宋体" w:cs="宋体"/>
          <w:b/>
          <w:color w:val="auto"/>
          <w:sz w:val="24"/>
          <w:szCs w:val="24"/>
          <w:highlight w:val="none"/>
        </w:rPr>
      </w:pPr>
    </w:p>
    <w:p>
      <w:pPr>
        <w:spacing w:after="0" w:line="360" w:lineRule="auto"/>
        <w:ind w:left="723" w:hanging="723" w:hangingChars="300"/>
        <w:rPr>
          <w:rFonts w:ascii="宋体" w:hAnsi="宋体" w:cs="宋体"/>
          <w:b/>
          <w:color w:val="auto"/>
          <w:sz w:val="24"/>
          <w:szCs w:val="24"/>
          <w:highlight w:val="none"/>
        </w:rPr>
      </w:pPr>
      <w:r>
        <w:rPr>
          <w:rFonts w:hint="eastAsia" w:ascii="宋体" w:hAnsi="宋体" w:cs="宋体"/>
          <w:b/>
          <w:color w:val="auto"/>
          <w:sz w:val="24"/>
          <w:szCs w:val="24"/>
          <w:highlight w:val="none"/>
        </w:rPr>
        <w:t>附件3-1</w:t>
      </w:r>
    </w:p>
    <w:p>
      <w:pPr>
        <w:spacing w:after="0" w:line="360" w:lineRule="auto"/>
        <w:jc w:val="center"/>
        <w:rPr>
          <w:rFonts w:ascii="宋体" w:hAnsi="宋体" w:cs="宋体"/>
          <w:b/>
          <w:color w:val="auto"/>
          <w:highlight w:val="none"/>
        </w:rPr>
      </w:pPr>
      <w:r>
        <w:rPr>
          <w:rFonts w:hint="eastAsia" w:ascii="宋体" w:hAnsi="宋体" w:cs="宋体"/>
          <w:b/>
          <w:color w:val="auto"/>
          <w:sz w:val="24"/>
          <w:szCs w:val="24"/>
          <w:highlight w:val="none"/>
        </w:rPr>
        <w:t>有效的法人或者其他组织的营业执照等证明文件，自然人的身份证明</w:t>
      </w:r>
      <w:r>
        <w:rPr>
          <w:rFonts w:hint="eastAsia" w:ascii="宋体" w:hAnsi="宋体" w:cs="宋体"/>
          <w:b/>
          <w:color w:val="auto"/>
          <w:highlight w:val="none"/>
        </w:rPr>
        <w:t>（五选一）</w:t>
      </w:r>
    </w:p>
    <w:p>
      <w:pPr>
        <w:spacing w:after="0" w:line="360" w:lineRule="auto"/>
        <w:jc w:val="center"/>
        <w:rPr>
          <w:rFonts w:ascii="宋体" w:hAnsi="宋体" w:cs="宋体"/>
          <w:b/>
          <w:color w:val="auto"/>
          <w:sz w:val="24"/>
          <w:szCs w:val="24"/>
          <w:highlight w:val="none"/>
        </w:rPr>
      </w:pPr>
      <w:r>
        <w:rPr>
          <w:rFonts w:hint="eastAsia" w:ascii="宋体" w:hAnsi="宋体" w:cs="宋体"/>
          <w:b/>
          <w:bCs/>
          <w:color w:val="auto"/>
          <w:sz w:val="22"/>
          <w:szCs w:val="22"/>
          <w:highlight w:val="none"/>
          <w:u w:val="single"/>
        </w:rPr>
        <w:t>（如为联合体投标，则联合体各方均须提供）</w:t>
      </w:r>
    </w:p>
    <w:p>
      <w:pPr>
        <w:spacing w:after="0" w:line="360" w:lineRule="auto"/>
        <w:jc w:val="center"/>
        <w:rPr>
          <w:rFonts w:ascii="宋体" w:hAnsi="宋体" w:cs="宋体"/>
          <w:b/>
          <w:color w:val="auto"/>
          <w:sz w:val="24"/>
          <w:szCs w:val="24"/>
          <w:highlight w:val="none"/>
        </w:rPr>
      </w:pPr>
    </w:p>
    <w:p>
      <w:pPr>
        <w:spacing w:after="0" w:line="360" w:lineRule="auto"/>
        <w:rPr>
          <w:rFonts w:ascii="宋体" w:hAnsi="宋体" w:cs="宋体"/>
          <w:b/>
          <w:color w:val="auto"/>
          <w:sz w:val="24"/>
          <w:szCs w:val="24"/>
          <w:highlight w:val="none"/>
        </w:rPr>
      </w:pPr>
    </w:p>
    <w:p>
      <w:pPr>
        <w:spacing w:after="0" w:line="360" w:lineRule="auto"/>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说明：</w:t>
      </w:r>
    </w:p>
    <w:p>
      <w:pPr>
        <w:pStyle w:val="27"/>
        <w:spacing w:after="0" w:line="360" w:lineRule="auto"/>
        <w:ind w:left="418" w:hanging="418"/>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1.如供应商是企业（包括合伙企业），提供在工商部门注册的有效“企业法人营业执照”或“营业执照”；</w:t>
      </w:r>
    </w:p>
    <w:p>
      <w:pPr>
        <w:pStyle w:val="27"/>
        <w:spacing w:after="0" w:line="360" w:lineRule="auto"/>
        <w:ind w:left="418" w:hanging="418"/>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2.如供应商是事业单位，提供有效的“事业单位法人证书”；</w:t>
      </w:r>
    </w:p>
    <w:p>
      <w:pPr>
        <w:pStyle w:val="27"/>
        <w:spacing w:after="0" w:line="360" w:lineRule="auto"/>
        <w:ind w:left="418" w:hanging="418"/>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3.如供应商是非企业专业服务机构的，提供执业许可证等证明文件；</w:t>
      </w:r>
    </w:p>
    <w:p>
      <w:pPr>
        <w:pStyle w:val="27"/>
        <w:spacing w:after="0" w:line="360" w:lineRule="auto"/>
        <w:ind w:left="418" w:hanging="418"/>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4.如供应商是个体工商户，提供有效的“个体工商户营业执照”；</w:t>
      </w:r>
    </w:p>
    <w:p>
      <w:pPr>
        <w:pStyle w:val="27"/>
        <w:spacing w:after="0" w:line="360" w:lineRule="auto"/>
        <w:ind w:left="418" w:hanging="418"/>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5.如供应商是自然人，提供有效的自然人身份证明（居民身份证正反面或公安机关出具的临时居民身份证正反面或港澳台胞证或证照）。</w:t>
      </w:r>
    </w:p>
    <w:p>
      <w:pPr>
        <w:adjustRightInd w:val="0"/>
        <w:snapToGrid w:val="0"/>
        <w:spacing w:after="0" w:line="360" w:lineRule="auto"/>
        <w:ind w:firstLine="442" w:firstLineChars="200"/>
        <w:jc w:val="left"/>
        <w:rPr>
          <w:rFonts w:ascii="宋体" w:hAnsi="宋体" w:cs="宋体"/>
          <w:b/>
          <w:bCs/>
          <w:color w:val="auto"/>
          <w:sz w:val="22"/>
          <w:szCs w:val="22"/>
          <w:highlight w:val="none"/>
        </w:rPr>
      </w:pPr>
    </w:p>
    <w:p>
      <w:pPr>
        <w:adjustRightInd w:val="0"/>
        <w:snapToGrid w:val="0"/>
        <w:spacing w:after="0" w:line="360" w:lineRule="auto"/>
        <w:ind w:firstLine="442" w:firstLineChars="200"/>
        <w:jc w:val="left"/>
        <w:rPr>
          <w:rFonts w:ascii="宋体" w:hAnsi="宋体" w:cs="宋体"/>
          <w:b/>
          <w:bCs/>
          <w:color w:val="auto"/>
          <w:sz w:val="22"/>
          <w:szCs w:val="22"/>
          <w:highlight w:val="none"/>
        </w:rPr>
      </w:pPr>
    </w:p>
    <w:p>
      <w:pPr>
        <w:adjustRightInd w:val="0"/>
        <w:snapToGrid w:val="0"/>
        <w:spacing w:after="0" w:line="360" w:lineRule="auto"/>
        <w:ind w:firstLine="442" w:firstLineChars="200"/>
        <w:jc w:val="left"/>
        <w:rPr>
          <w:rFonts w:ascii="宋体" w:hAnsi="宋体"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pStyle w:val="18"/>
        <w:spacing w:after="0"/>
        <w:ind w:left="0" w:right="0" w:rightChars="0"/>
        <w:rPr>
          <w:rFonts w:cs="宋体"/>
          <w:b/>
          <w:bCs/>
          <w:color w:val="auto"/>
          <w:sz w:val="22"/>
          <w:szCs w:val="22"/>
          <w:highlight w:val="none"/>
        </w:rPr>
      </w:pPr>
    </w:p>
    <w:p>
      <w:pPr>
        <w:spacing w:after="0"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附件3-2</w:t>
      </w:r>
    </w:p>
    <w:p>
      <w:pPr>
        <w:spacing w:before="312" w:beforeLines="100" w:after="312" w:after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关于符合基本资格条件的承诺函</w:t>
      </w:r>
    </w:p>
    <w:p>
      <w:pPr>
        <w:spacing w:before="312" w:beforeLines="100" w:after="312" w:afterLines="100" w:line="360" w:lineRule="auto"/>
        <w:jc w:val="center"/>
        <w:rPr>
          <w:rFonts w:ascii="宋体" w:hAnsi="宋体" w:cs="宋体"/>
          <w:b/>
          <w:color w:val="auto"/>
          <w:sz w:val="24"/>
          <w:szCs w:val="24"/>
          <w:highlight w:val="none"/>
        </w:rPr>
      </w:pPr>
      <w:r>
        <w:rPr>
          <w:rFonts w:hint="eastAsia" w:ascii="宋体" w:hAnsi="宋体" w:cs="宋体"/>
          <w:b/>
          <w:bCs/>
          <w:color w:val="auto"/>
          <w:sz w:val="22"/>
          <w:szCs w:val="22"/>
          <w:highlight w:val="none"/>
          <w:u w:val="single"/>
        </w:rPr>
        <w:t>（如为联合体投标，则联合体各方均须提供，并各自加盖公章）</w:t>
      </w:r>
    </w:p>
    <w:p>
      <w:pPr>
        <w:spacing w:after="0" w:line="360" w:lineRule="exact"/>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致：</w:t>
      </w:r>
      <w:r>
        <w:rPr>
          <w:rFonts w:hint="eastAsia" w:ascii="宋体" w:hAnsi="宋体" w:cs="宋体"/>
          <w:color w:val="auto"/>
          <w:sz w:val="22"/>
          <w:szCs w:val="22"/>
          <w:highlight w:val="none"/>
        </w:rPr>
        <w:t>温州大学、浙江乐诚工程咨询有限公司</w:t>
      </w:r>
      <w:r>
        <w:rPr>
          <w:rFonts w:hint="eastAsia" w:ascii="宋体" w:hAnsi="宋体" w:cs="宋体"/>
          <w:color w:val="auto"/>
          <w:spacing w:val="-6"/>
          <w:sz w:val="22"/>
          <w:szCs w:val="22"/>
          <w:highlight w:val="none"/>
        </w:rPr>
        <w:t>：</w:t>
      </w:r>
    </w:p>
    <w:p>
      <w:pPr>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我单位就</w:t>
      </w:r>
      <w:r>
        <w:rPr>
          <w:rFonts w:hint="eastAsia" w:ascii="宋体" w:hAnsi="宋体" w:cs="宋体"/>
          <w:color w:val="auto"/>
          <w:sz w:val="22"/>
          <w:szCs w:val="22"/>
          <w:highlight w:val="none"/>
          <w:u w:val="single"/>
        </w:rPr>
        <w:t xml:space="preserve">            （项目名称）           （项目编号）</w:t>
      </w:r>
      <w:r>
        <w:rPr>
          <w:rFonts w:hint="eastAsia" w:ascii="宋体" w:hAnsi="宋体" w:cs="宋体"/>
          <w:color w:val="auto"/>
          <w:sz w:val="22"/>
          <w:szCs w:val="22"/>
          <w:highlight w:val="none"/>
        </w:rPr>
        <w:t>项目承诺具备下列条件：</w:t>
      </w:r>
    </w:p>
    <w:p>
      <w:pPr>
        <w:pStyle w:val="31"/>
        <w:spacing w:before="0" w:beforeAutospacing="0" w:after="0" w:afterAutospacing="0" w:line="360" w:lineRule="exact"/>
        <w:ind w:firstLine="440" w:firstLineChars="200"/>
        <w:rPr>
          <w:bCs/>
          <w:color w:val="auto"/>
          <w:kern w:val="2"/>
          <w:sz w:val="22"/>
          <w:szCs w:val="22"/>
          <w:highlight w:val="none"/>
        </w:rPr>
      </w:pPr>
      <w:r>
        <w:rPr>
          <w:rFonts w:hint="eastAsia"/>
          <w:bCs/>
          <w:color w:val="auto"/>
          <w:kern w:val="2"/>
          <w:sz w:val="22"/>
          <w:szCs w:val="22"/>
          <w:highlight w:val="none"/>
        </w:rPr>
        <w:t>（一）具有独立承担民事责任的能力；</w:t>
      </w:r>
    </w:p>
    <w:p>
      <w:pPr>
        <w:pStyle w:val="31"/>
        <w:spacing w:before="0" w:beforeAutospacing="0" w:after="0" w:afterAutospacing="0" w:line="360" w:lineRule="exact"/>
        <w:ind w:firstLine="440" w:firstLineChars="200"/>
        <w:rPr>
          <w:bCs/>
          <w:color w:val="auto"/>
          <w:kern w:val="2"/>
          <w:sz w:val="22"/>
          <w:szCs w:val="22"/>
          <w:highlight w:val="none"/>
        </w:rPr>
      </w:pPr>
      <w:r>
        <w:rPr>
          <w:rFonts w:hint="eastAsia"/>
          <w:bCs/>
          <w:color w:val="auto"/>
          <w:kern w:val="2"/>
          <w:sz w:val="22"/>
          <w:szCs w:val="22"/>
          <w:highlight w:val="none"/>
        </w:rPr>
        <w:t>（二）具有良好的商业信誉和健全的财务会计制度；</w:t>
      </w:r>
    </w:p>
    <w:p>
      <w:pPr>
        <w:pStyle w:val="31"/>
        <w:spacing w:before="0" w:beforeAutospacing="0" w:after="0" w:afterAutospacing="0" w:line="360" w:lineRule="exact"/>
        <w:ind w:firstLine="440" w:firstLineChars="200"/>
        <w:rPr>
          <w:bCs/>
          <w:color w:val="auto"/>
          <w:kern w:val="2"/>
          <w:sz w:val="22"/>
          <w:szCs w:val="22"/>
          <w:highlight w:val="none"/>
        </w:rPr>
      </w:pPr>
      <w:r>
        <w:rPr>
          <w:rFonts w:hint="eastAsia"/>
          <w:bCs/>
          <w:color w:val="auto"/>
          <w:kern w:val="2"/>
          <w:sz w:val="22"/>
          <w:szCs w:val="22"/>
          <w:highlight w:val="none"/>
        </w:rPr>
        <w:t>（三）具有履行合同所必需的设备和专业技术能力；</w:t>
      </w:r>
    </w:p>
    <w:p>
      <w:pPr>
        <w:pStyle w:val="31"/>
        <w:spacing w:before="0" w:beforeAutospacing="0" w:after="0" w:afterAutospacing="0" w:line="360" w:lineRule="exact"/>
        <w:ind w:firstLine="440" w:firstLineChars="200"/>
        <w:rPr>
          <w:bCs/>
          <w:color w:val="auto"/>
          <w:kern w:val="2"/>
          <w:sz w:val="22"/>
          <w:szCs w:val="22"/>
          <w:highlight w:val="none"/>
        </w:rPr>
      </w:pPr>
      <w:r>
        <w:rPr>
          <w:rFonts w:hint="eastAsia"/>
          <w:bCs/>
          <w:color w:val="auto"/>
          <w:kern w:val="2"/>
          <w:sz w:val="22"/>
          <w:szCs w:val="22"/>
          <w:highlight w:val="none"/>
        </w:rPr>
        <w:t>（四）有依法缴纳税收和社会保障资金的良好记录；</w:t>
      </w:r>
    </w:p>
    <w:p>
      <w:pPr>
        <w:pStyle w:val="31"/>
        <w:spacing w:before="0" w:beforeAutospacing="0" w:after="0" w:afterAutospacing="0" w:line="360" w:lineRule="exact"/>
        <w:ind w:firstLine="440" w:firstLineChars="200"/>
        <w:rPr>
          <w:bCs/>
          <w:color w:val="auto"/>
          <w:kern w:val="2"/>
          <w:sz w:val="22"/>
          <w:szCs w:val="22"/>
          <w:highlight w:val="none"/>
        </w:rPr>
      </w:pPr>
      <w:r>
        <w:rPr>
          <w:rFonts w:hint="eastAsia"/>
          <w:bCs/>
          <w:color w:val="auto"/>
          <w:kern w:val="2"/>
          <w:sz w:val="22"/>
          <w:szCs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31"/>
        <w:spacing w:before="0" w:beforeAutospacing="0" w:after="0" w:afterAutospacing="0" w:line="360" w:lineRule="exact"/>
        <w:ind w:firstLine="440" w:firstLineChars="200"/>
        <w:rPr>
          <w:bCs/>
          <w:color w:val="auto"/>
          <w:kern w:val="2"/>
          <w:sz w:val="22"/>
          <w:szCs w:val="22"/>
          <w:highlight w:val="none"/>
        </w:rPr>
      </w:pPr>
      <w:r>
        <w:rPr>
          <w:rFonts w:hint="eastAsia"/>
          <w:bCs/>
          <w:color w:val="auto"/>
          <w:kern w:val="2"/>
          <w:sz w:val="22"/>
          <w:szCs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adjustRightInd w:val="0"/>
        <w:snapToGrid w:val="0"/>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（七）不存在以下情况：</w:t>
      </w:r>
    </w:p>
    <w:p>
      <w:pPr>
        <w:adjustRightInd w:val="0"/>
        <w:snapToGrid w:val="0"/>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1、单位负责人为同一人或者存在直接控股、管理关系的不同供应商参加同一合同项下的政府采购活动的；</w:t>
      </w:r>
    </w:p>
    <w:p>
      <w:pPr>
        <w:adjustRightInd w:val="0"/>
        <w:snapToGrid w:val="0"/>
        <w:spacing w:after="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2、为采购项目提供整体设计、规范编制或者项目管理、监理、检测等服务后再参加该采购项目的其他采购活动的。</w:t>
      </w:r>
    </w:p>
    <w:p>
      <w:pPr>
        <w:adjustRightInd w:val="0"/>
        <w:spacing w:after="0" w:line="360" w:lineRule="exact"/>
        <w:ind w:firstLine="442" w:firstLineChars="200"/>
        <w:rPr>
          <w:rStyle w:val="79"/>
          <w:rFonts w:ascii="宋体" w:hAnsi="宋体" w:cs="宋体"/>
          <w:color w:val="auto"/>
          <w:sz w:val="22"/>
          <w:szCs w:val="22"/>
          <w:highlight w:val="none"/>
        </w:rPr>
      </w:pPr>
      <w:r>
        <w:rPr>
          <w:rStyle w:val="79"/>
          <w:rFonts w:hint="eastAsia" w:ascii="宋体" w:hAnsi="宋体" w:cs="宋体"/>
          <w:b/>
          <w:bCs/>
          <w:color w:val="auto"/>
          <w:sz w:val="22"/>
          <w:szCs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9"/>
          <w:rFonts w:hint="eastAsia" w:ascii="宋体" w:hAnsi="宋体" w:cs="宋体"/>
          <w:color w:val="auto"/>
          <w:sz w:val="22"/>
          <w:szCs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adjustRightInd w:val="0"/>
        <w:spacing w:after="0" w:line="360" w:lineRule="exact"/>
        <w:ind w:firstLine="440" w:firstLineChars="200"/>
        <w:rPr>
          <w:rStyle w:val="79"/>
          <w:rFonts w:ascii="宋体" w:hAnsi="宋体" w:cs="宋体"/>
          <w:color w:val="auto"/>
          <w:sz w:val="22"/>
          <w:szCs w:val="22"/>
          <w:highlight w:val="none"/>
        </w:rPr>
      </w:pPr>
      <w:r>
        <w:rPr>
          <w:rStyle w:val="79"/>
          <w:rFonts w:hint="eastAsia" w:ascii="宋体" w:hAnsi="宋体" w:cs="宋体"/>
          <w:color w:val="auto"/>
          <w:sz w:val="22"/>
          <w:szCs w:val="22"/>
          <w:highlight w:val="none"/>
        </w:rPr>
        <w:t>《中华人民共和国政府采购法实施条例》第十九条第一款规定的“</w:t>
      </w:r>
      <w:r>
        <w:rPr>
          <w:rFonts w:hint="eastAsia" w:ascii="宋体" w:hAnsi="宋体" w:cs="宋体"/>
          <w:color w:val="auto"/>
          <w:sz w:val="22"/>
          <w:szCs w:val="22"/>
          <w:highlight w:val="none"/>
        </w:rPr>
        <w:t>较大数额罚款</w:t>
      </w:r>
      <w:r>
        <w:rPr>
          <w:rStyle w:val="79"/>
          <w:rFonts w:hint="eastAsia" w:ascii="宋体" w:hAnsi="宋体" w:cs="宋体"/>
          <w:color w:val="auto"/>
          <w:sz w:val="22"/>
          <w:szCs w:val="22"/>
          <w:highlight w:val="none"/>
        </w:rPr>
        <w:t>”认定为200万元以上的罚款，法律、行政法规以及国务院有关部门明确规定相关领域“</w:t>
      </w:r>
      <w:r>
        <w:rPr>
          <w:rFonts w:hint="eastAsia" w:ascii="宋体" w:hAnsi="宋体" w:cs="宋体"/>
          <w:color w:val="auto"/>
          <w:sz w:val="22"/>
          <w:szCs w:val="22"/>
          <w:highlight w:val="none"/>
        </w:rPr>
        <w:t>较大数额罚款</w:t>
      </w:r>
      <w:r>
        <w:rPr>
          <w:rStyle w:val="79"/>
          <w:rFonts w:hint="eastAsia" w:ascii="宋体" w:hAnsi="宋体" w:cs="宋体"/>
          <w:color w:val="auto"/>
          <w:sz w:val="22"/>
          <w:szCs w:val="22"/>
          <w:highlight w:val="none"/>
        </w:rPr>
        <w:t>”标准高于200万元的，从其规定。</w:t>
      </w:r>
    </w:p>
    <w:p>
      <w:pPr>
        <w:adjustRightInd w:val="0"/>
        <w:spacing w:after="0" w:line="360" w:lineRule="exact"/>
        <w:ind w:firstLine="440" w:firstLineChars="200"/>
        <w:rPr>
          <w:rStyle w:val="79"/>
          <w:rFonts w:ascii="宋体" w:hAnsi="宋体" w:cs="宋体"/>
          <w:color w:val="auto"/>
          <w:sz w:val="22"/>
          <w:szCs w:val="22"/>
          <w:highlight w:val="none"/>
        </w:rPr>
      </w:pPr>
      <w:r>
        <w:rPr>
          <w:rStyle w:val="79"/>
          <w:rFonts w:hint="eastAsia" w:ascii="宋体" w:hAnsi="宋体" w:cs="宋体"/>
          <w:color w:val="auto"/>
          <w:sz w:val="22"/>
          <w:szCs w:val="22"/>
          <w:highlight w:val="none"/>
        </w:rPr>
        <w:t>我单位已知晓前述法律规定，对此无任何异议。</w:t>
      </w:r>
    </w:p>
    <w:p>
      <w:pPr>
        <w:adjustRightInd w:val="0"/>
        <w:spacing w:after="0" w:line="360" w:lineRule="exact"/>
        <w:ind w:firstLine="442" w:firstLineChars="200"/>
        <w:rPr>
          <w:rFonts w:ascii="宋体" w:hAnsi="宋体" w:cs="宋体"/>
          <w:snapToGrid w:val="0"/>
          <w:color w:val="auto"/>
          <w:sz w:val="22"/>
          <w:szCs w:val="22"/>
          <w:highlight w:val="none"/>
        </w:rPr>
      </w:pPr>
      <w:r>
        <w:rPr>
          <w:rStyle w:val="79"/>
          <w:rFonts w:hint="eastAsia" w:ascii="宋体" w:hAnsi="宋体" w:cs="宋体"/>
          <w:b/>
          <w:bCs/>
          <w:color w:val="auto"/>
          <w:sz w:val="22"/>
          <w:szCs w:val="22"/>
          <w:highlight w:val="none"/>
        </w:rPr>
        <w:t>注：</w:t>
      </w:r>
      <w:r>
        <w:rPr>
          <w:rStyle w:val="79"/>
          <w:rFonts w:hint="eastAsia" w:ascii="宋体" w:hAnsi="宋体" w:cs="宋体"/>
          <w:color w:val="auto"/>
          <w:sz w:val="22"/>
          <w:szCs w:val="22"/>
          <w:highlight w:val="none"/>
          <w:u w:val="single"/>
        </w:rPr>
        <w:t>▲</w:t>
      </w:r>
      <w:r>
        <w:rPr>
          <w:rStyle w:val="79"/>
          <w:rFonts w:hint="eastAsia" w:ascii="宋体" w:hAnsi="宋体" w:cs="宋体"/>
          <w:b/>
          <w:bCs/>
          <w:color w:val="auto"/>
          <w:sz w:val="22"/>
          <w:szCs w:val="22"/>
          <w:highlight w:val="none"/>
          <w:u w:val="single"/>
        </w:rPr>
        <w:t>本承诺函必须提供。</w:t>
      </w:r>
    </w:p>
    <w:p>
      <w:pPr>
        <w:spacing w:after="0" w:line="360" w:lineRule="exact"/>
        <w:rPr>
          <w:rFonts w:ascii="宋体" w:hAnsi="宋体" w:cs="宋体"/>
          <w:color w:val="auto"/>
          <w:szCs w:val="21"/>
          <w:highlight w:val="none"/>
        </w:rPr>
      </w:pPr>
    </w:p>
    <w:p>
      <w:pPr>
        <w:adjustRightInd w:val="0"/>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adjustRightInd w:val="0"/>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adjustRightInd w:val="0"/>
        <w:spacing w:after="0"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spacing w:after="0"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附件3-3</w:t>
      </w:r>
    </w:p>
    <w:p>
      <w:pPr>
        <w:pStyle w:val="113"/>
        <w:spacing w:line="240" w:lineRule="auto"/>
        <w:rPr>
          <w:b/>
          <w:bCs/>
          <w:color w:val="auto"/>
          <w:sz w:val="28"/>
          <w:szCs w:val="28"/>
          <w:highlight w:val="none"/>
        </w:rPr>
      </w:pPr>
      <w:r>
        <w:rPr>
          <w:rFonts w:hint="eastAsia"/>
          <w:b/>
          <w:bCs/>
          <w:color w:val="auto"/>
          <w:sz w:val="28"/>
          <w:szCs w:val="28"/>
          <w:highlight w:val="none"/>
        </w:rPr>
        <w:t>中小企业声明函（服务）</w:t>
      </w:r>
    </w:p>
    <w:p>
      <w:pPr>
        <w:pStyle w:val="120"/>
        <w:spacing w:after="0" w:line="381" w:lineRule="exact"/>
        <w:ind w:firstLine="480"/>
        <w:rPr>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本公司（联合体）郑重声明，根据《政府采购促进中小企业发展管理办法》（财库（2020）46号）的规定，本公司（联合体）参加</w:t>
      </w:r>
      <w:r>
        <w:rPr>
          <w:rFonts w:hint="eastAsia"/>
          <w:color w:val="auto"/>
          <w:sz w:val="24"/>
          <w:szCs w:val="24"/>
          <w:highlight w:val="none"/>
          <w:u w:val="single"/>
          <w:lang w:val="en-US" w:eastAsia="zh-CN"/>
        </w:rPr>
        <w:t xml:space="preserve"> 温州大学 </w:t>
      </w:r>
      <w:r>
        <w:rPr>
          <w:rFonts w:hint="eastAsia"/>
          <w:color w:val="auto"/>
          <w:sz w:val="24"/>
          <w:szCs w:val="24"/>
          <w:highlight w:val="none"/>
          <w:u w:val="single"/>
        </w:rPr>
        <w:t>（</w:t>
      </w:r>
      <w:r>
        <w:rPr>
          <w:rFonts w:hint="eastAsia"/>
          <w:color w:val="auto"/>
          <w:sz w:val="24"/>
          <w:szCs w:val="24"/>
          <w:highlight w:val="none"/>
          <w:u w:val="single"/>
          <w:lang w:val="en-US" w:eastAsia="zh-CN"/>
        </w:rPr>
        <w:t>单</w:t>
      </w:r>
      <w:r>
        <w:rPr>
          <w:rFonts w:hint="eastAsia"/>
          <w:color w:val="auto"/>
          <w:sz w:val="24"/>
          <w:szCs w:val="24"/>
          <w:highlight w:val="none"/>
          <w:u w:val="single"/>
        </w:rPr>
        <w:t>位名称）</w:t>
      </w:r>
      <w:r>
        <w:rPr>
          <w:rFonts w:hint="eastAsia"/>
          <w:color w:val="auto"/>
          <w:sz w:val="24"/>
          <w:szCs w:val="24"/>
          <w:highlight w:val="none"/>
        </w:rPr>
        <w:t>的</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温州市“松台别业”展陈项目</w:t>
      </w:r>
      <w:r>
        <w:rPr>
          <w:rFonts w:hint="eastAsia"/>
          <w:color w:val="auto"/>
          <w:sz w:val="24"/>
          <w:szCs w:val="24"/>
          <w:highlight w:val="none"/>
          <w:u w:val="single"/>
        </w:rPr>
        <w:t>（项目名称）</w:t>
      </w:r>
      <w:r>
        <w:rPr>
          <w:rFonts w:hint="eastAsia"/>
          <w:color w:val="auto"/>
          <w:sz w:val="24"/>
          <w:szCs w:val="24"/>
          <w:highlight w:val="none"/>
        </w:rPr>
        <w:t>采购</w:t>
      </w:r>
      <w:r>
        <w:rPr>
          <w:rFonts w:hint="eastAsia"/>
          <w:color w:val="auto"/>
          <w:sz w:val="24"/>
          <w:szCs w:val="24"/>
          <w:highlight w:val="none"/>
          <w:lang w:val="zh-CN" w:eastAsia="zh-CN" w:bidi="zh-CN"/>
        </w:rPr>
        <w:t>活动，</w:t>
      </w:r>
      <w:r>
        <w:rPr>
          <w:rFonts w:hint="eastAsia"/>
          <w:color w:val="auto"/>
          <w:sz w:val="24"/>
          <w:szCs w:val="24"/>
          <w:highlight w:val="none"/>
        </w:rPr>
        <w:t>服务</w:t>
      </w:r>
      <w:r>
        <w:rPr>
          <w:rFonts w:hint="eastAsia"/>
          <w:color w:val="auto"/>
          <w:sz w:val="24"/>
          <w:szCs w:val="24"/>
          <w:highlight w:val="none"/>
          <w:lang w:eastAsia="zh-CN"/>
        </w:rPr>
        <w:t>全部</w:t>
      </w:r>
      <w:r>
        <w:rPr>
          <w:rFonts w:hint="eastAsia"/>
          <w:color w:val="auto"/>
          <w:sz w:val="24"/>
          <w:szCs w:val="24"/>
          <w:highlight w:val="none"/>
        </w:rPr>
        <w:t>由符合政策要求的中小企业承接</w:t>
      </w:r>
      <w:r>
        <w:rPr>
          <w:rFonts w:hint="eastAsia"/>
          <w:color w:val="auto"/>
          <w:sz w:val="24"/>
          <w:szCs w:val="24"/>
          <w:highlight w:val="none"/>
          <w:lang w:eastAsia="zh-CN"/>
        </w:rPr>
        <w:t>（如</w:t>
      </w:r>
      <w:r>
        <w:rPr>
          <w:rFonts w:hint="eastAsia"/>
          <w:color w:val="auto"/>
          <w:sz w:val="24"/>
          <w:szCs w:val="24"/>
          <w:highlight w:val="none"/>
        </w:rPr>
        <w:t>联合体</w:t>
      </w:r>
      <w:r>
        <w:rPr>
          <w:rFonts w:hint="eastAsia"/>
          <w:color w:val="auto"/>
          <w:sz w:val="24"/>
          <w:szCs w:val="24"/>
          <w:highlight w:val="none"/>
          <w:lang w:eastAsia="zh-CN"/>
        </w:rPr>
        <w:t>投标的，</w:t>
      </w:r>
      <w:r>
        <w:rPr>
          <w:rFonts w:hint="eastAsia"/>
          <w:color w:val="auto"/>
          <w:sz w:val="24"/>
          <w:szCs w:val="24"/>
          <w:highlight w:val="none"/>
        </w:rPr>
        <w:t>联合体</w:t>
      </w:r>
      <w:r>
        <w:rPr>
          <w:rFonts w:hint="eastAsia"/>
          <w:color w:val="auto"/>
          <w:sz w:val="24"/>
          <w:szCs w:val="24"/>
          <w:highlight w:val="none"/>
          <w:lang w:eastAsia="zh-CN"/>
        </w:rPr>
        <w:t>协议</w:t>
      </w:r>
      <w:r>
        <w:rPr>
          <w:rFonts w:hint="eastAsia"/>
          <w:color w:val="auto"/>
          <w:sz w:val="24"/>
          <w:szCs w:val="24"/>
          <w:highlight w:val="none"/>
        </w:rPr>
        <w:t>中的中小企业</w:t>
      </w:r>
      <w:r>
        <w:rPr>
          <w:rFonts w:hint="eastAsia"/>
          <w:color w:val="auto"/>
          <w:sz w:val="24"/>
          <w:szCs w:val="24"/>
          <w:highlight w:val="none"/>
          <w:lang w:eastAsia="zh-CN"/>
        </w:rPr>
        <w:t>提供的</w:t>
      </w:r>
      <w:r>
        <w:rPr>
          <w:rFonts w:hint="eastAsia"/>
          <w:color w:val="auto"/>
          <w:sz w:val="24"/>
          <w:szCs w:val="24"/>
          <w:highlight w:val="none"/>
        </w:rPr>
        <w:t>服务</w:t>
      </w:r>
      <w:r>
        <w:rPr>
          <w:rFonts w:hint="eastAsia"/>
          <w:color w:val="auto"/>
          <w:sz w:val="24"/>
          <w:szCs w:val="24"/>
          <w:highlight w:val="none"/>
          <w:lang w:eastAsia="zh-CN"/>
        </w:rPr>
        <w:t>全部</w:t>
      </w:r>
      <w:r>
        <w:rPr>
          <w:rFonts w:hint="eastAsia"/>
          <w:color w:val="auto"/>
          <w:sz w:val="24"/>
          <w:szCs w:val="24"/>
          <w:highlight w:val="none"/>
        </w:rPr>
        <w:t>由符合政策要求的中小企业承接</w:t>
      </w:r>
      <w:r>
        <w:rPr>
          <w:rFonts w:hint="eastAsia"/>
          <w:color w:val="auto"/>
          <w:sz w:val="24"/>
          <w:szCs w:val="24"/>
          <w:highlight w:val="none"/>
          <w:lang w:eastAsia="zh-CN"/>
        </w:rPr>
        <w:t>）</w:t>
      </w:r>
      <w:r>
        <w:rPr>
          <w:rFonts w:hint="eastAsia"/>
          <w:color w:val="auto"/>
          <w:sz w:val="24"/>
          <w:szCs w:val="24"/>
          <w:highlight w:val="none"/>
        </w:rPr>
        <w:t>。相关企业（含联合体中的中小企业）的具体情况如</w:t>
      </w:r>
      <w:r>
        <w:rPr>
          <w:rFonts w:hint="eastAsia"/>
          <w:color w:val="auto"/>
          <w:sz w:val="24"/>
          <w:szCs w:val="24"/>
          <w:highlight w:val="none"/>
          <w:lang w:eastAsia="zh-CN"/>
        </w:rPr>
        <w:t>下</w:t>
      </w:r>
      <w:r>
        <w:rPr>
          <w:rFonts w:hint="eastAsia"/>
          <w:color w:val="auto"/>
          <w:sz w:val="24"/>
          <w:szCs w:val="24"/>
          <w:highlight w:val="none"/>
        </w:rPr>
        <w:t>：</w:t>
      </w:r>
    </w:p>
    <w:p>
      <w:pPr>
        <w:pStyle w:val="120"/>
        <w:tabs>
          <w:tab w:val="left" w:pos="879"/>
        </w:tabs>
        <w:spacing w:after="0" w:line="381" w:lineRule="exact"/>
        <w:ind w:firstLine="480" w:firstLineChars="200"/>
        <w:rPr>
          <w:color w:val="auto"/>
          <w:sz w:val="24"/>
          <w:szCs w:val="24"/>
          <w:highlight w:val="none"/>
        </w:rPr>
      </w:pPr>
      <w:r>
        <w:rPr>
          <w:rFonts w:hint="eastAsia"/>
          <w:color w:val="auto"/>
          <w:sz w:val="24"/>
          <w:szCs w:val="24"/>
          <w:highlight w:val="none"/>
          <w:u w:val="single"/>
          <w:lang w:val="en-US" w:eastAsia="zh-CN"/>
        </w:rPr>
        <w:t xml:space="preserve">1.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（采购文件中明确的所属行业）</w:t>
      </w:r>
      <w:r>
        <w:rPr>
          <w:rFonts w:hint="eastAsia"/>
          <w:color w:val="auto"/>
          <w:sz w:val="24"/>
          <w:szCs w:val="24"/>
          <w:highlight w:val="none"/>
          <w:lang w:val="en-US" w:eastAsia="zh-CN" w:bidi="en-US"/>
        </w:rPr>
        <w:t>；</w:t>
      </w:r>
      <w:r>
        <w:rPr>
          <w:rFonts w:hint="eastAsia"/>
          <w:color w:val="auto"/>
          <w:sz w:val="24"/>
          <w:szCs w:val="24"/>
          <w:highlight w:val="none"/>
        </w:rPr>
        <w:t>承建（承接）企业为</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（企业名称）</w:t>
      </w:r>
      <w:r>
        <w:rPr>
          <w:rFonts w:hint="eastAsia"/>
          <w:i/>
          <w:iCs/>
          <w:color w:val="auto"/>
          <w:sz w:val="24"/>
          <w:szCs w:val="24"/>
          <w:highlight w:val="none"/>
          <w:lang w:eastAsia="zh-CN"/>
        </w:rPr>
        <w:t>，</w:t>
      </w:r>
      <w:r>
        <w:rPr>
          <w:rFonts w:hint="eastAsia"/>
          <w:color w:val="auto"/>
          <w:sz w:val="24"/>
          <w:szCs w:val="24"/>
          <w:highlight w:val="none"/>
        </w:rPr>
        <w:t>从业人员</w:t>
      </w:r>
      <w:r>
        <w:rPr>
          <w:rFonts w:hint="eastAsia"/>
          <w:color w:val="auto"/>
          <w:sz w:val="24"/>
          <w:szCs w:val="24"/>
          <w:highlight w:val="none"/>
          <w:u w:val="single"/>
          <w:lang w:val="en-US" w:eastAsia="zh-CN" w:bidi="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Style w:val="42"/>
          <w:rFonts w:hint="eastAsia" w:cs="宋体"/>
          <w:color w:val="auto"/>
          <w:sz w:val="24"/>
          <w:szCs w:val="24"/>
          <w:highlight w:val="none"/>
        </w:rPr>
        <w:footnoteReference w:id="0"/>
      </w:r>
      <w:r>
        <w:rPr>
          <w:rFonts w:hint="eastAsia"/>
          <w:color w:val="auto"/>
          <w:sz w:val="24"/>
          <w:szCs w:val="24"/>
          <w:highlight w:val="none"/>
          <w:lang w:val="en-US" w:eastAsia="zh-CN" w:bidi="en-US"/>
        </w:rPr>
        <w:t>，</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（中型企业、 小型企业、微型企业）</w:t>
      </w:r>
      <w:r>
        <w:rPr>
          <w:rFonts w:hint="eastAsia"/>
          <w:color w:val="auto"/>
          <w:sz w:val="24"/>
          <w:szCs w:val="24"/>
          <w:highlight w:val="none"/>
          <w:lang w:eastAsia="zh-CN"/>
        </w:rPr>
        <w:t>；</w:t>
      </w:r>
    </w:p>
    <w:p>
      <w:pPr>
        <w:pStyle w:val="120"/>
        <w:tabs>
          <w:tab w:val="left" w:pos="879"/>
          <w:tab w:val="left" w:pos="1136"/>
          <w:tab w:val="left" w:pos="3461"/>
        </w:tabs>
        <w:spacing w:after="0" w:line="381" w:lineRule="exact"/>
        <w:ind w:firstLine="480" w:firstLineChars="200"/>
        <w:rPr>
          <w:color w:val="auto"/>
          <w:sz w:val="24"/>
          <w:szCs w:val="24"/>
          <w:highlight w:val="none"/>
        </w:rPr>
      </w:pPr>
      <w:r>
        <w:rPr>
          <w:rFonts w:hint="eastAsia"/>
          <w:color w:val="auto"/>
          <w:sz w:val="24"/>
          <w:szCs w:val="24"/>
          <w:highlight w:val="none"/>
          <w:u w:val="single"/>
          <w:lang w:val="en-US" w:eastAsia="zh-CN"/>
        </w:rPr>
        <w:t xml:space="preserve">2.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（采购文件中明确的所属行业</w:t>
      </w:r>
      <w:r>
        <w:rPr>
          <w:rFonts w:hint="eastAsia"/>
          <w:color w:val="auto"/>
          <w:sz w:val="24"/>
          <w:szCs w:val="24"/>
          <w:highlight w:val="none"/>
          <w:u w:val="single"/>
          <w:lang w:eastAsia="zh-CN"/>
        </w:rPr>
        <w:t>）</w:t>
      </w:r>
      <w:r>
        <w:rPr>
          <w:rFonts w:hint="eastAsia"/>
          <w:color w:val="auto"/>
          <w:sz w:val="24"/>
          <w:szCs w:val="24"/>
          <w:highlight w:val="none"/>
          <w:lang w:eastAsia="zh-CN"/>
        </w:rPr>
        <w:t>；</w:t>
      </w:r>
      <w:r>
        <w:rPr>
          <w:rFonts w:hint="eastAsia"/>
          <w:color w:val="auto"/>
          <w:sz w:val="24"/>
          <w:szCs w:val="24"/>
          <w:highlight w:val="none"/>
        </w:rPr>
        <w:t>承建（承接）企业为</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（企业名称）</w:t>
      </w:r>
      <w:r>
        <w:rPr>
          <w:rFonts w:hint="eastAsia"/>
          <w:i/>
          <w:iCs/>
          <w:color w:val="auto"/>
          <w:sz w:val="24"/>
          <w:szCs w:val="24"/>
          <w:highlight w:val="none"/>
        </w:rPr>
        <w:t>、</w:t>
      </w:r>
      <w:r>
        <w:rPr>
          <w:rFonts w:hint="eastAsia"/>
          <w:color w:val="auto"/>
          <w:sz w:val="24"/>
          <w:szCs w:val="24"/>
          <w:highlight w:val="none"/>
        </w:rPr>
        <w:t>从业人员</w:t>
      </w:r>
      <w:r>
        <w:rPr>
          <w:rFonts w:hint="eastAsia"/>
          <w:color w:val="auto"/>
          <w:sz w:val="24"/>
          <w:szCs w:val="24"/>
          <w:highlight w:val="none"/>
          <w:u w:val="single"/>
          <w:lang w:val="en-US" w:eastAsia="zh-CN" w:bidi="zh-CN"/>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ab/>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Fonts w:hint="eastAsia"/>
          <w:i/>
          <w:iCs/>
          <w:color w:val="auto"/>
          <w:sz w:val="24"/>
          <w:szCs w:val="24"/>
          <w:highlight w:val="none"/>
        </w:rPr>
        <w:t>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（中型企业、</w:t>
      </w:r>
      <w:r>
        <w:rPr>
          <w:rFonts w:hint="eastAsia"/>
          <w:color w:val="auto"/>
          <w:sz w:val="24"/>
          <w:szCs w:val="24"/>
          <w:highlight w:val="none"/>
          <w:u w:val="single"/>
          <w:lang w:val="zh-CN" w:eastAsia="zh-CN" w:bidi="zh-CN"/>
        </w:rPr>
        <w:t>小型</w:t>
      </w:r>
      <w:r>
        <w:rPr>
          <w:rFonts w:hint="eastAsia"/>
          <w:color w:val="auto"/>
          <w:sz w:val="24"/>
          <w:szCs w:val="24"/>
          <w:highlight w:val="none"/>
          <w:u w:val="single"/>
        </w:rPr>
        <w:t>企业、微型企业）</w:t>
      </w:r>
      <w:r>
        <w:rPr>
          <w:rFonts w:hint="eastAsia"/>
          <w:color w:val="auto"/>
          <w:sz w:val="24"/>
          <w:szCs w:val="24"/>
          <w:highlight w:val="none"/>
          <w:lang w:eastAsia="zh-CN"/>
        </w:rPr>
        <w:t>；</w:t>
      </w:r>
    </w:p>
    <w:p>
      <w:pPr>
        <w:pStyle w:val="120"/>
        <w:tabs>
          <w:tab w:val="left" w:pos="879"/>
          <w:tab w:val="left" w:pos="1136"/>
          <w:tab w:val="left" w:pos="3461"/>
        </w:tabs>
        <w:spacing w:after="0" w:line="381" w:lineRule="exact"/>
        <w:ind w:left="480" w:firstLine="0"/>
        <w:rPr>
          <w:color w:val="auto"/>
          <w:sz w:val="24"/>
          <w:szCs w:val="24"/>
          <w:highlight w:val="none"/>
          <w:lang w:val="en-US"/>
        </w:rPr>
      </w:pPr>
      <w:r>
        <w:rPr>
          <w:rFonts w:hint="eastAsia"/>
          <w:color w:val="auto"/>
          <w:sz w:val="24"/>
          <w:szCs w:val="24"/>
          <w:highlight w:val="none"/>
          <w:lang w:val="en-US" w:eastAsia="zh-CN"/>
        </w:rPr>
        <w:t>……</w:t>
      </w:r>
    </w:p>
    <w:p>
      <w:pPr>
        <w:pStyle w:val="120"/>
        <w:tabs>
          <w:tab w:val="left" w:leader="dot" w:pos="-4890"/>
        </w:tabs>
        <w:spacing w:after="0" w:line="374" w:lineRule="exact"/>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pPr>
        <w:pStyle w:val="120"/>
        <w:spacing w:after="0" w:line="374" w:lineRule="exact"/>
        <w:ind w:firstLine="480"/>
        <w:rPr>
          <w:color w:val="auto"/>
          <w:sz w:val="24"/>
          <w:szCs w:val="24"/>
          <w:highlight w:val="none"/>
        </w:rPr>
      </w:pPr>
      <w:r>
        <w:rPr>
          <w:rFonts w:hint="eastAsia"/>
          <w:color w:val="auto"/>
          <w:sz w:val="24"/>
          <w:szCs w:val="24"/>
          <w:highlight w:val="none"/>
        </w:rPr>
        <w:t>本企业对上述声明内容的真实性负责。如有虚假，将依法承担相应责任。</w:t>
      </w:r>
    </w:p>
    <w:p>
      <w:pPr>
        <w:pStyle w:val="120"/>
        <w:spacing w:after="0" w:line="374" w:lineRule="exact"/>
        <w:ind w:firstLine="0"/>
        <w:jc w:val="center"/>
        <w:rPr>
          <w:color w:val="auto"/>
          <w:sz w:val="24"/>
          <w:szCs w:val="24"/>
          <w:highlight w:val="none"/>
        </w:rPr>
      </w:pPr>
    </w:p>
    <w:p>
      <w:pPr>
        <w:pStyle w:val="120"/>
        <w:spacing w:after="0" w:line="374" w:lineRule="exact"/>
        <w:ind w:firstLine="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企业名称（盖章）：</w:t>
      </w:r>
    </w:p>
    <w:p>
      <w:pPr>
        <w:pStyle w:val="120"/>
        <w:spacing w:after="0" w:line="374" w:lineRule="exact"/>
        <w:ind w:firstLine="0"/>
        <w:jc w:val="center"/>
        <w:rPr>
          <w:color w:val="auto"/>
          <w:highlight w:val="none"/>
          <w:shd w:val="clear" w:color="auto" w:fill="FFFFFF"/>
        </w:rPr>
      </w:pPr>
      <w:r>
        <w:rPr>
          <w:rFonts w:hint="eastAsia"/>
          <w:color w:val="auto"/>
          <w:sz w:val="24"/>
          <w:szCs w:val="24"/>
          <w:highlight w:val="none"/>
          <w:lang w:val="en-US" w:eastAsia="zh-CN"/>
        </w:rPr>
        <w:t xml:space="preserve">       </w:t>
      </w:r>
      <w:r>
        <w:rPr>
          <w:rFonts w:hint="eastAsia"/>
          <w:color w:val="auto"/>
          <w:sz w:val="24"/>
          <w:szCs w:val="24"/>
          <w:highlight w:val="none"/>
        </w:rPr>
        <w:t>日期：</w:t>
      </w:r>
    </w:p>
    <w:p>
      <w:pPr>
        <w:pStyle w:val="120"/>
        <w:tabs>
          <w:tab w:val="left" w:pos="662"/>
          <w:tab w:val="left" w:pos="908"/>
          <w:tab w:val="left" w:pos="2945"/>
        </w:tabs>
        <w:spacing w:after="0"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pPr>
        <w:pStyle w:val="120"/>
        <w:tabs>
          <w:tab w:val="left" w:pos="662"/>
          <w:tab w:val="left" w:pos="908"/>
          <w:tab w:val="left" w:pos="2945"/>
        </w:tabs>
        <w:spacing w:after="0"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w:t>
      </w:r>
      <w:r>
        <w:rPr>
          <w:rFonts w:hint="eastAsia"/>
          <w:b/>
          <w:bCs/>
          <w:color w:val="auto"/>
          <w:highlight w:val="none"/>
          <w:lang w:eastAsia="zh-CN"/>
        </w:rPr>
        <w:t>磋商文件</w:t>
      </w:r>
      <w:r>
        <w:rPr>
          <w:rFonts w:hint="eastAsia"/>
          <w:b/>
          <w:bCs/>
          <w:color w:val="auto"/>
          <w:highlight w:val="none"/>
        </w:rPr>
        <w:t>第二部分</w:t>
      </w:r>
      <w:r>
        <w:rPr>
          <w:rFonts w:hint="eastAsia"/>
          <w:b/>
          <w:bCs/>
          <w:color w:val="auto"/>
          <w:highlight w:val="none"/>
          <w:lang w:eastAsia="zh-CN"/>
        </w:rPr>
        <w:t>供应商</w:t>
      </w:r>
      <w:r>
        <w:rPr>
          <w:rFonts w:hint="eastAsia"/>
          <w:b/>
          <w:bCs/>
          <w:color w:val="auto"/>
          <w:highlight w:val="none"/>
        </w:rPr>
        <w:t>须知前附表中“</w:t>
      </w:r>
      <w:r>
        <w:rPr>
          <w:rFonts w:hint="eastAsia"/>
          <w:b/>
          <w:bCs/>
          <w:color w:val="auto"/>
          <w:highlight w:val="none"/>
          <w:lang w:eastAsia="zh-CN"/>
        </w:rPr>
        <w:t>所属行业及标的名称</w:t>
      </w:r>
      <w:r>
        <w:rPr>
          <w:rFonts w:hint="eastAsia"/>
          <w:b/>
          <w:bCs/>
          <w:color w:val="auto"/>
          <w:highlight w:val="none"/>
        </w:rPr>
        <w:t>”填写，不得缺漏；中型企业、小型企业、微型企业等3种企业类型，结合以上数据，依据《中小企业划型标准规定》（工信部联企业〔2011〕300号）确定；</w:t>
      </w:r>
    </w:p>
    <w:p>
      <w:pPr>
        <w:pStyle w:val="120"/>
        <w:tabs>
          <w:tab w:val="left" w:pos="662"/>
          <w:tab w:val="left" w:pos="908"/>
          <w:tab w:val="left" w:pos="2945"/>
        </w:tabs>
        <w:spacing w:after="0" w:line="370" w:lineRule="exact"/>
        <w:ind w:firstLine="442" w:firstLineChars="200"/>
        <w:rPr>
          <w:b/>
          <w:bCs/>
          <w:color w:val="auto"/>
          <w:highlight w:val="none"/>
        </w:rPr>
      </w:pPr>
      <w:r>
        <w:rPr>
          <w:rFonts w:hint="eastAsia"/>
          <w:b/>
          <w:bCs/>
          <w:color w:val="auto"/>
          <w:highlight w:val="none"/>
          <w:lang w:val="en-US" w:eastAsia="zh-CN"/>
        </w:rPr>
        <w:t>3.</w:t>
      </w:r>
      <w:r>
        <w:rPr>
          <w:rFonts w:hint="eastAsia"/>
          <w:b/>
          <w:bCs/>
          <w:color w:val="auto"/>
          <w:highlight w:val="none"/>
          <w:lang w:eastAsia="zh-CN"/>
        </w:rPr>
        <w:t>供应商</w:t>
      </w:r>
      <w:r>
        <w:rPr>
          <w:rFonts w:hint="eastAsia"/>
          <w:b/>
          <w:bCs/>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pStyle w:val="120"/>
        <w:tabs>
          <w:tab w:val="left" w:pos="662"/>
          <w:tab w:val="left" w:pos="908"/>
          <w:tab w:val="left" w:pos="2945"/>
        </w:tabs>
        <w:spacing w:after="0" w:line="370" w:lineRule="exact"/>
        <w:ind w:firstLine="442" w:firstLineChars="200"/>
        <w:rPr>
          <w:b/>
          <w:bCs/>
          <w:color w:val="auto"/>
          <w:highlight w:val="none"/>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pPr>
        <w:pStyle w:val="120"/>
        <w:tabs>
          <w:tab w:val="left" w:pos="662"/>
          <w:tab w:val="left" w:pos="908"/>
          <w:tab w:val="left" w:pos="2945"/>
        </w:tabs>
        <w:spacing w:after="0" w:line="370" w:lineRule="exact"/>
        <w:ind w:firstLine="442" w:firstLineChars="200"/>
        <w:rPr>
          <w:color w:val="auto"/>
          <w:kern w:val="0"/>
          <w:highlight w:val="none"/>
        </w:rPr>
      </w:pPr>
      <w:r>
        <w:rPr>
          <w:rFonts w:hint="eastAsia"/>
          <w:b/>
          <w:bCs/>
          <w:color w:val="auto"/>
          <w:highlight w:val="none"/>
          <w:lang w:val="en-US" w:eastAsia="zh-CN"/>
        </w:rPr>
        <w:t>5.</w:t>
      </w:r>
      <w:r>
        <w:rPr>
          <w:rFonts w:hint="eastAsia"/>
          <w:b/>
          <w:bCs/>
          <w:color w:val="auto"/>
          <w:kern w:val="0"/>
          <w:highlight w:val="none"/>
          <w:lang w:val="en-US" w:eastAsia="zh-CN"/>
        </w:rPr>
        <w:t>供应商</w:t>
      </w:r>
      <w:r>
        <w:rPr>
          <w:rFonts w:hint="eastAsia"/>
          <w:b/>
          <w:bCs/>
          <w:color w:val="auto"/>
          <w:kern w:val="0"/>
          <w:highlight w:val="none"/>
        </w:rPr>
        <w:t>为联合体形式的，企业名称</w:t>
      </w:r>
      <w:r>
        <w:rPr>
          <w:rFonts w:hint="eastAsia"/>
          <w:b/>
          <w:bCs/>
          <w:color w:val="auto"/>
          <w:kern w:val="0"/>
          <w:highlight w:val="none"/>
          <w:lang w:eastAsia="zh-CN"/>
        </w:rPr>
        <w:t>填写所有联合体成员名称，</w:t>
      </w:r>
      <w:r>
        <w:rPr>
          <w:rFonts w:hint="eastAsia"/>
          <w:b/>
          <w:bCs/>
          <w:color w:val="auto"/>
          <w:kern w:val="0"/>
          <w:highlight w:val="none"/>
        </w:rPr>
        <w:t>盖章可只需联合体牵头方盖章。</w:t>
      </w:r>
    </w:p>
    <w:p>
      <w:pPr>
        <w:pStyle w:val="120"/>
        <w:tabs>
          <w:tab w:val="left" w:pos="662"/>
          <w:tab w:val="left" w:pos="908"/>
          <w:tab w:val="left" w:pos="2945"/>
        </w:tabs>
        <w:spacing w:after="0" w:line="370" w:lineRule="exact"/>
        <w:ind w:firstLine="442" w:firstLineChars="200"/>
        <w:rPr>
          <w:b/>
          <w:bCs/>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pPr>
        <w:spacing w:after="0" w:line="360" w:lineRule="auto"/>
        <w:jc w:val="center"/>
        <w:rPr>
          <w:rFonts w:ascii="宋体" w:hAnsi="宋体" w:cs="宋体"/>
          <w:b/>
          <w:bCs/>
          <w:color w:val="auto"/>
          <w:sz w:val="24"/>
          <w:highlight w:val="none"/>
        </w:rPr>
      </w:pPr>
    </w:p>
    <w:p>
      <w:pPr>
        <w:spacing w:after="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（省级以上监狱管理局、戒毒管理局（含新疆生产建设兵团）出具的属于监狱企业的证明文件）</w:t>
      </w: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pStyle w:val="18"/>
        <w:spacing w:after="0" w:line="400" w:lineRule="exact"/>
        <w:ind w:left="0" w:right="0" w:rightChars="0"/>
        <w:rPr>
          <w:rFonts w:cs="宋体"/>
          <w:color w:val="auto"/>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pPr>
        <w:spacing w:after="0" w:line="400" w:lineRule="exact"/>
        <w:jc w:val="center"/>
        <w:rPr>
          <w:rFonts w:ascii="宋体" w:hAnsi="宋体" w:cs="宋体"/>
          <w:b/>
          <w:bCs/>
          <w:color w:val="auto"/>
          <w:sz w:val="24"/>
          <w:highlight w:val="none"/>
        </w:rPr>
      </w:pPr>
    </w:p>
    <w:p>
      <w:pPr>
        <w:spacing w:after="0"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after="0" w:line="400" w:lineRule="exact"/>
        <w:ind w:firstLine="504" w:firstLineChars="200"/>
        <w:rPr>
          <w:rFonts w:ascii="宋体" w:hAnsi="宋体" w:cs="宋体"/>
          <w:color w:val="auto"/>
          <w:spacing w:val="6"/>
          <w:sz w:val="24"/>
          <w:szCs w:val="24"/>
          <w:highlight w:val="none"/>
        </w:rPr>
      </w:pPr>
    </w:p>
    <w:p>
      <w:pPr>
        <w:tabs>
          <w:tab w:val="left" w:pos="4860"/>
        </w:tabs>
        <w:spacing w:after="0"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单位名称（CA电子公章）：</w:t>
      </w:r>
    </w:p>
    <w:p>
      <w:pPr>
        <w:tabs>
          <w:tab w:val="left" w:pos="4860"/>
        </w:tabs>
        <w:spacing w:after="0"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pPr>
        <w:spacing w:after="0" w:line="400" w:lineRule="exact"/>
        <w:rPr>
          <w:rFonts w:ascii="宋体" w:hAnsi="宋体" w:cs="宋体"/>
          <w:b/>
          <w:color w:val="auto"/>
          <w:sz w:val="24"/>
          <w:szCs w:val="24"/>
          <w:highlight w:val="none"/>
        </w:rPr>
      </w:pPr>
    </w:p>
    <w:p>
      <w:pPr>
        <w:spacing w:after="0" w:line="400" w:lineRule="exact"/>
        <w:rPr>
          <w:rFonts w:ascii="宋体" w:hAnsi="宋体" w:cs="宋体"/>
          <w:color w:val="auto"/>
          <w:highlight w:val="none"/>
        </w:rPr>
      </w:pPr>
      <w:r>
        <w:rPr>
          <w:rFonts w:hint="eastAsia" w:ascii="宋体" w:hAnsi="宋体" w:cs="宋体"/>
          <w:b/>
          <w:bCs/>
          <w:color w:val="auto"/>
          <w:sz w:val="24"/>
          <w:highlight w:val="none"/>
        </w:rPr>
        <w:t>注：供应商不属于残疾人福利性单位的，无需提供此声明函，如提供所引起的后果由供应商承担。</w:t>
      </w:r>
      <w:r>
        <w:rPr>
          <w:rFonts w:hint="eastAsia" w:ascii="宋体" w:hAnsi="宋体" w:cs="宋体"/>
          <w:b/>
          <w:bCs/>
          <w:color w:val="auto"/>
          <w:sz w:val="24"/>
          <w:szCs w:val="22"/>
          <w:highlight w:val="none"/>
        </w:rPr>
        <w:t>中标、成交供应商为残疾人福利性单位的，采购代理机构将随中标结果同时公告其《残疾人福利性单位声明函》，接受社会监督。</w:t>
      </w:r>
    </w:p>
    <w:p>
      <w:pPr>
        <w:spacing w:after="0" w:line="360" w:lineRule="auto"/>
        <w:rPr>
          <w:rFonts w:ascii="宋体" w:hAnsi="宋体" w:cs="宋体"/>
          <w:color w:val="auto"/>
          <w:spacing w:val="-6"/>
          <w:sz w:val="24"/>
          <w:highlight w:val="none"/>
        </w:rPr>
      </w:pPr>
    </w:p>
    <w:p>
      <w:pPr>
        <w:pStyle w:val="2"/>
        <w:ind w:firstLine="228"/>
        <w:rPr>
          <w:rFonts w:ascii="宋体" w:hAnsi="宋体" w:cs="宋体"/>
          <w:color w:val="auto"/>
          <w:spacing w:val="-6"/>
          <w:sz w:val="24"/>
          <w:highlight w:val="none"/>
        </w:rPr>
      </w:pPr>
    </w:p>
    <w:p>
      <w:pPr>
        <w:spacing w:after="0"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附件3-4</w:t>
      </w:r>
    </w:p>
    <w:p>
      <w:pPr>
        <w:numPr>
          <w:ilvl w:val="1"/>
          <w:numId w:val="0"/>
        </w:numPr>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联合体投标协议书</w:t>
      </w:r>
      <w:r>
        <w:rPr>
          <w:rFonts w:hint="eastAsia" w:ascii="宋体" w:hAnsi="宋体" w:cs="宋体"/>
          <w:b/>
          <w:bCs/>
          <w:color w:val="auto"/>
          <w:sz w:val="28"/>
          <w:szCs w:val="28"/>
          <w:highlight w:val="none"/>
        </w:rPr>
        <w:t>和</w:t>
      </w:r>
      <w:r>
        <w:rPr>
          <w:rFonts w:hint="eastAsia" w:ascii="宋体" w:hAnsi="宋体" w:cs="宋体"/>
          <w:b/>
          <w:bCs/>
          <w:color w:val="auto"/>
          <w:sz w:val="28"/>
          <w:szCs w:val="28"/>
          <w:highlight w:val="none"/>
          <w:lang w:val="zh-CN"/>
        </w:rPr>
        <w:t>分包意向协议</w:t>
      </w:r>
    </w:p>
    <w:p>
      <w:pPr>
        <w:numPr>
          <w:ilvl w:val="1"/>
          <w:numId w:val="0"/>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联合体投标协议书</w:t>
      </w:r>
    </w:p>
    <w:p>
      <w:pPr>
        <w:widowControl/>
        <w:snapToGrid w:val="0"/>
        <w:spacing w:line="360" w:lineRule="auto"/>
        <w:jc w:val="center"/>
        <w:rPr>
          <w:rFonts w:ascii="宋体" w:hAnsi="宋体" w:cs="宋体"/>
          <w:color w:val="auto"/>
          <w:sz w:val="18"/>
          <w:szCs w:val="18"/>
          <w:highlight w:val="none"/>
        </w:rPr>
      </w:pPr>
      <w:r>
        <w:rPr>
          <w:rFonts w:hint="eastAsia" w:ascii="宋体" w:hAnsi="宋体" w:cs="宋体"/>
          <w:b/>
          <w:color w:val="auto"/>
          <w:sz w:val="18"/>
          <w:szCs w:val="18"/>
          <w:highlight w:val="none"/>
        </w:rPr>
        <w:t>（以联合体形式投标的提供联合投标协议，项目不接受联合体投标或供应商不以联合体形式投标的则不需要提供）</w:t>
      </w:r>
    </w:p>
    <w:p>
      <w:pPr>
        <w:snapToGrid w:val="0"/>
        <w:spacing w:line="360" w:lineRule="exact"/>
        <w:ind w:firstLine="442" w:firstLineChars="201"/>
        <w:jc w:val="left"/>
        <w:rPr>
          <w:rFonts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组成一个联合体，以一个供应商的身份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（标项名称）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pPr>
        <w:widowControl/>
        <w:numPr>
          <w:ilvl w:val="0"/>
          <w:numId w:val="18"/>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pPr>
        <w:pStyle w:val="16"/>
        <w:spacing w:line="360" w:lineRule="exact"/>
        <w:ind w:left="440" w:hanging="440"/>
        <w:rPr>
          <w:rFonts w:hAnsi="宋体" w:cs="宋体"/>
          <w:color w:val="auto"/>
          <w:sz w:val="22"/>
          <w:highlight w:val="none"/>
        </w:rPr>
      </w:pPr>
      <w:r>
        <w:rPr>
          <w:rFonts w:hint="eastAsia" w:hAnsi="宋体" w:cs="宋体"/>
          <w:color w:val="auto"/>
          <w:sz w:val="22"/>
          <w:highlight w:val="none"/>
        </w:rPr>
        <w:t>.....</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响应文件中的所有承诺均代表了联合体各成员的真实意愿。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（3）联合体将严格按照招标文件的各项要求，递交响应文件，切实执行一切合同文件，共同承担合同规定的一切义务和责任，同时按照内部职责的划分，承担自身所负的责任和风险，在法律上承担连带责任。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pPr>
        <w:widowControl/>
        <w:spacing w:line="40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pPr>
        <w:widowControl/>
        <w:spacing w:line="400" w:lineRule="exact"/>
        <w:jc w:val="left"/>
        <w:rPr>
          <w:rFonts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pPr>
        <w:widowControl/>
        <w:spacing w:line="400" w:lineRule="exact"/>
        <w:jc w:val="left"/>
        <w:rPr>
          <w:rFonts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r>
        <w:rPr>
          <w:rFonts w:hint="eastAsia" w:ascii="宋体" w:hAnsi="宋体" w:cs="宋体"/>
          <w:b/>
          <w:color w:val="auto"/>
          <w:kern w:val="0"/>
          <w:sz w:val="22"/>
          <w:highlight w:val="none"/>
        </w:rPr>
        <w:t xml:space="preserve"> </w:t>
      </w:r>
    </w:p>
    <w:p>
      <w:pPr>
        <w:pStyle w:val="16"/>
        <w:spacing w:line="360" w:lineRule="exact"/>
        <w:ind w:left="440" w:hanging="440"/>
        <w:rPr>
          <w:rFonts w:hAnsi="宋体" w:cs="宋体"/>
          <w:color w:val="auto"/>
          <w:highlight w:val="none"/>
        </w:rPr>
      </w:pPr>
      <w:r>
        <w:rPr>
          <w:rFonts w:hint="eastAsia" w:hAnsi="宋体" w:cs="宋体"/>
          <w:color w:val="auto"/>
          <w:sz w:val="22"/>
          <w:highlight w:val="none"/>
        </w:rPr>
        <w:t>......</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（2）联合体中有同类资质的各方按照联合体分工承担相同工作的，按照资质等级较低的供应商确定资质等级。</w:t>
      </w:r>
    </w:p>
    <w:p>
      <w:pPr>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（3）本协议提交采购人、采购机构后，联合体各方不得以任何形式对上述内容进行修改或撤销。</w:t>
      </w:r>
    </w:p>
    <w:p>
      <w:pPr>
        <w:snapToGrid w:val="0"/>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val="zh-CN"/>
        </w:rPr>
        <w:t>（4）</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lang w:val="zh-CN"/>
        </w:rPr>
        <w:t>（联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pPr>
        <w:snapToGrid w:val="0"/>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pPr>
        <w:widowControl/>
        <w:spacing w:line="360" w:lineRule="exact"/>
        <w:jc w:val="left"/>
        <w:rPr>
          <w:rFonts w:ascii="宋体" w:hAnsi="宋体" w:cs="宋体"/>
          <w:color w:val="auto"/>
          <w:kern w:val="0"/>
          <w:sz w:val="22"/>
          <w:highlight w:val="none"/>
        </w:rPr>
      </w:pP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单位名称（盖章）：                                   单位名称（盖章）：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地址：                                               地址：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napToGrid w:val="0"/>
        <w:spacing w:line="400" w:lineRule="exact"/>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分包意向协议</w:t>
      </w:r>
    </w:p>
    <w:p>
      <w:pPr>
        <w:widowControl/>
        <w:snapToGrid w:val="0"/>
        <w:spacing w:line="360" w:lineRule="exact"/>
        <w:ind w:left="-210" w:leftChars="-100"/>
        <w:jc w:val="left"/>
        <w:rPr>
          <w:rFonts w:ascii="宋体" w:hAnsi="宋体" w:cs="宋体"/>
          <w:color w:val="auto"/>
          <w:highlight w:val="none"/>
        </w:rPr>
      </w:pPr>
      <w:r>
        <w:rPr>
          <w:rFonts w:hint="eastAsia" w:ascii="宋体" w:hAnsi="宋体" w:cs="宋体"/>
          <w:b/>
          <w:bCs/>
          <w:color w:val="auto"/>
          <w:sz w:val="18"/>
          <w:szCs w:val="18"/>
          <w:highlight w:val="none"/>
        </w:rPr>
        <w:t>（中标后以分包方式履行合同的提供分包意向协议，采购人不同意分包或中标后不以分包方式履行合同的则不需要提供）</w:t>
      </w:r>
    </w:p>
    <w:p>
      <w:pPr>
        <w:snapToGrid w:val="0"/>
        <w:spacing w:line="360" w:lineRule="exact"/>
        <w:ind w:firstLine="440" w:firstLineChars="200"/>
        <w:jc w:val="left"/>
        <w:rPr>
          <w:rFonts w:ascii="宋体" w:hAnsi="宋体" w:cs="宋体"/>
          <w:color w:val="auto"/>
          <w:kern w:val="0"/>
          <w:sz w:val="22"/>
          <w:highlight w:val="none"/>
          <w:u w:val="single"/>
        </w:rPr>
      </w:pP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（供应商名称）</w:t>
      </w:r>
      <w:r>
        <w:rPr>
          <w:rFonts w:hint="eastAsia" w:ascii="宋体" w:hAnsi="宋体" w:cs="宋体"/>
          <w:color w:val="auto"/>
          <w:kern w:val="0"/>
          <w:sz w:val="22"/>
          <w:highlight w:val="none"/>
          <w:lang w:val="zh-CN"/>
        </w:rPr>
        <w:t>若成为</w:t>
      </w:r>
      <w:r>
        <w:rPr>
          <w:rFonts w:hint="eastAsia" w:ascii="宋体" w:hAnsi="宋体" w:cs="宋体"/>
          <w:color w:val="auto"/>
          <w:kern w:val="0"/>
          <w:sz w:val="22"/>
          <w:highlight w:val="none"/>
          <w:u w:val="single"/>
        </w:rPr>
        <w:t xml:space="preserve">     （标项名称）</w:t>
      </w:r>
      <w:r>
        <w:rPr>
          <w:rFonts w:hint="eastAsia" w:ascii="宋体" w:hAnsi="宋体" w:cs="宋体"/>
          <w:color w:val="auto"/>
          <w:sz w:val="22"/>
          <w:highlight w:val="none"/>
          <w:u w:val="single"/>
        </w:rPr>
        <w:t>（项目编号：   ）</w:t>
      </w:r>
      <w:r>
        <w:rPr>
          <w:rFonts w:hint="eastAsia" w:ascii="宋体" w:hAnsi="宋体" w:cs="宋体"/>
          <w:color w:val="auto"/>
          <w:kern w:val="0"/>
          <w:sz w:val="22"/>
          <w:highlight w:val="none"/>
          <w:lang w:val="zh-CN"/>
        </w:rPr>
        <w:t>的成交供应商，将依法采取分包方式履行合同。</w:t>
      </w:r>
      <w:r>
        <w:rPr>
          <w:rFonts w:hint="eastAsia" w:ascii="宋体" w:hAnsi="宋体" w:cs="宋体"/>
          <w:color w:val="auto"/>
          <w:kern w:val="0"/>
          <w:sz w:val="22"/>
          <w:highlight w:val="none"/>
          <w:u w:val="single"/>
        </w:rPr>
        <w:t>（供应商名称）</w:t>
      </w:r>
      <w:r>
        <w:rPr>
          <w:rFonts w:hint="eastAsia" w:ascii="宋体" w:hAnsi="宋体" w:cs="宋体"/>
          <w:color w:val="auto"/>
          <w:kern w:val="0"/>
          <w:sz w:val="22"/>
          <w:highlight w:val="none"/>
        </w:rPr>
        <w:t>与</w:t>
      </w:r>
      <w:r>
        <w:rPr>
          <w:rFonts w:hint="eastAsia" w:ascii="宋体" w:hAnsi="宋体" w:cs="宋体"/>
          <w:color w:val="auto"/>
          <w:kern w:val="0"/>
          <w:sz w:val="22"/>
          <w:highlight w:val="none"/>
          <w:u w:val="single"/>
        </w:rPr>
        <w:t>（所有分包供应商名称）</w:t>
      </w:r>
      <w:r>
        <w:rPr>
          <w:rFonts w:hint="eastAsia" w:ascii="宋体" w:hAnsi="宋体" w:cs="宋体"/>
          <w:color w:val="auto"/>
          <w:kern w:val="0"/>
          <w:sz w:val="22"/>
          <w:highlight w:val="none"/>
        </w:rPr>
        <w:t>达成分包意向协议</w:t>
      </w:r>
      <w:r>
        <w:rPr>
          <w:rFonts w:hint="eastAsia" w:ascii="宋体" w:hAnsi="宋体" w:cs="宋体"/>
          <w:color w:val="auto"/>
          <w:kern w:val="0"/>
          <w:sz w:val="22"/>
          <w:highlight w:val="none"/>
          <w:lang w:val="zh-CN"/>
        </w:rPr>
        <w:t>。</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一、分包标的及数量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u w:val="single"/>
        </w:rPr>
        <w:t>（供应商名称）</w:t>
      </w:r>
      <w:r>
        <w:rPr>
          <w:rFonts w:hint="eastAsia" w:ascii="宋体" w:hAnsi="宋体" w:cs="宋体"/>
          <w:color w:val="auto"/>
          <w:kern w:val="0"/>
          <w:sz w:val="22"/>
          <w:highlight w:val="none"/>
          <w:lang w:val="zh-CN"/>
        </w:rPr>
        <w:t>将</w:t>
      </w:r>
      <w:r>
        <w:rPr>
          <w:rFonts w:hint="eastAsia" w:ascii="宋体" w:hAnsi="宋体" w:cs="宋体"/>
          <w:color w:val="auto"/>
          <w:sz w:val="22"/>
          <w:highlight w:val="none"/>
          <w:u w:val="single"/>
        </w:rPr>
        <w:t>XX工作内容</w:t>
      </w:r>
      <w:r>
        <w:rPr>
          <w:rFonts w:hint="eastAsia" w:ascii="宋体" w:hAnsi="宋体" w:cs="宋体"/>
          <w:color w:val="auto"/>
          <w:sz w:val="22"/>
          <w:highlight w:val="none"/>
        </w:rPr>
        <w:t>分包给</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lang w:val="zh-CN"/>
        </w:rPr>
        <w:t>具备承</w:t>
      </w:r>
      <w:r>
        <w:rPr>
          <w:rFonts w:hint="eastAsia" w:ascii="宋体" w:hAnsi="宋体" w:cs="宋体"/>
          <w:color w:val="auto"/>
          <w:kern w:val="0"/>
          <w:sz w:val="22"/>
          <w:highlight w:val="none"/>
        </w:rPr>
        <w:t>担</w:t>
      </w:r>
      <w:r>
        <w:rPr>
          <w:rFonts w:hint="eastAsia" w:ascii="宋体" w:hAnsi="宋体" w:cs="宋体"/>
          <w:color w:val="auto"/>
          <w:sz w:val="22"/>
          <w:highlight w:val="none"/>
          <w:u w:val="single"/>
        </w:rPr>
        <w:t>XX工作内容</w:t>
      </w:r>
      <w:r>
        <w:rPr>
          <w:rFonts w:hint="eastAsia" w:ascii="宋体" w:hAnsi="宋体" w:cs="宋体"/>
          <w:color w:val="auto"/>
          <w:kern w:val="0"/>
          <w:sz w:val="22"/>
          <w:highlight w:val="none"/>
          <w:lang w:val="zh-CN"/>
        </w:rPr>
        <w:t>相应资质条件且不得再次分包；</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二、分包工作履行期限、地点、方式：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三、质量：</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四、价款或者报酬：</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五、违约责任：</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六、争议解决的办法：</w:t>
      </w:r>
    </w:p>
    <w:p>
      <w:pPr>
        <w:snapToGrid w:val="0"/>
        <w:spacing w:line="360" w:lineRule="auto"/>
        <w:ind w:firstLine="440" w:firstLineChars="200"/>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七、其他：</w:t>
      </w:r>
    </w:p>
    <w:p>
      <w:pPr>
        <w:snapToGrid w:val="0"/>
        <w:spacing w:line="360" w:lineRule="auto"/>
        <w:ind w:firstLine="440" w:firstLineChars="200"/>
        <w:jc w:val="left"/>
        <w:rPr>
          <w:rFonts w:ascii="宋体" w:hAnsi="宋体" w:cs="宋体"/>
          <w:color w:val="auto"/>
          <w:kern w:val="0"/>
          <w:sz w:val="22"/>
          <w:highlight w:val="none"/>
          <w:u w:val="single"/>
          <w:lang w:val="zh-CN"/>
        </w:rPr>
      </w:pPr>
      <w:r>
        <w:rPr>
          <w:rFonts w:hint="eastAsia" w:ascii="宋体" w:hAnsi="宋体" w:cs="宋体"/>
          <w:color w:val="auto"/>
          <w:kern w:val="0"/>
          <w:sz w:val="22"/>
          <w:highlight w:val="none"/>
          <w:u w:val="single"/>
        </w:rPr>
        <w:t>（某分包供应商名称）</w:t>
      </w:r>
      <w:r>
        <w:rPr>
          <w:rFonts w:hint="eastAsia" w:ascii="宋体" w:hAnsi="宋体" w:cs="宋体"/>
          <w:color w:val="auto"/>
          <w:kern w:val="0"/>
          <w:sz w:val="22"/>
          <w:highlight w:val="none"/>
          <w:u w:val="single"/>
          <w:lang w:val="zh-CN"/>
        </w:rPr>
        <w:t>的合同份额占到合同总金额     %以上。</w:t>
      </w:r>
    </w:p>
    <w:p>
      <w:pPr>
        <w:snapToGrid w:val="0"/>
        <w:spacing w:line="360" w:lineRule="auto"/>
        <w:ind w:firstLine="440" w:firstLineChars="200"/>
        <w:jc w:val="left"/>
        <w:rPr>
          <w:rFonts w:ascii="宋体" w:hAnsi="宋体" w:cs="宋体"/>
          <w:color w:val="auto"/>
          <w:sz w:val="22"/>
          <w:highlight w:val="none"/>
        </w:rPr>
      </w:pPr>
      <w:r>
        <w:rPr>
          <w:rFonts w:hint="eastAsia" w:ascii="宋体" w:hAnsi="宋体" w:cs="宋体"/>
          <w:color w:val="auto"/>
          <w:kern w:val="0"/>
          <w:sz w:val="22"/>
          <w:highlight w:val="none"/>
        </w:rPr>
        <w:t>八、</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rPr>
        <w:t>（供应商）</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（分包企业）之间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pPr>
        <w:snapToGrid w:val="0"/>
        <w:spacing w:line="360" w:lineRule="auto"/>
        <w:rPr>
          <w:rFonts w:ascii="宋体" w:hAnsi="宋体" w:cs="宋体"/>
          <w:b/>
          <w:bCs/>
          <w:color w:val="auto"/>
          <w:kern w:val="0"/>
          <w:sz w:val="24"/>
          <w:szCs w:val="24"/>
          <w:highlight w:val="none"/>
          <w:lang w:val="zh-CN"/>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供应商全称(电子签章)：</w:t>
      </w:r>
    </w:p>
    <w:p>
      <w:pPr>
        <w:widowControl/>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分包供应商名称（公章）：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pPr>
        <w:spacing w:line="360" w:lineRule="exact"/>
        <w:jc w:val="left"/>
        <w:rPr>
          <w:rFonts w:ascii="宋体" w:hAnsi="宋体" w:cs="宋体"/>
          <w:color w:val="auto"/>
          <w:sz w:val="22"/>
          <w:highlight w:val="none"/>
        </w:rPr>
      </w:pPr>
      <w:r>
        <w:rPr>
          <w:rFonts w:hint="eastAsia" w:ascii="宋体" w:hAnsi="宋体" w:cs="宋体"/>
          <w:b/>
          <w:color w:val="auto"/>
          <w:sz w:val="24"/>
          <w:szCs w:val="24"/>
          <w:highlight w:val="none"/>
        </w:rPr>
        <w:t>附件3-5</w:t>
      </w:r>
    </w:p>
    <w:p>
      <w:pPr>
        <w:snapToGrid w:val="0"/>
        <w:spacing w:before="156" w:beforeLines="50" w:after="5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特定资格要求证明材料</w:t>
      </w:r>
    </w:p>
    <w:p>
      <w:pPr>
        <w:snapToGrid w:val="0"/>
        <w:spacing w:before="156" w:beforeLines="50" w:after="50"/>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（根据招标公告本项目的特定资格要求提供相应的材料）</w:t>
      </w:r>
    </w:p>
    <w:p>
      <w:pPr>
        <w:rPr>
          <w:rFonts w:ascii="宋体" w:hAnsi="宋体" w:cs="宋体"/>
          <w:color w:val="auto"/>
          <w:sz w:val="22"/>
          <w:szCs w:val="22"/>
          <w:highlight w:val="none"/>
        </w:rPr>
      </w:pPr>
      <w:r>
        <w:rPr>
          <w:rFonts w:hint="eastAsia" w:ascii="宋体" w:hAnsi="宋体" w:cs="宋体"/>
          <w:color w:val="auto"/>
          <w:sz w:val="22"/>
          <w:szCs w:val="22"/>
          <w:highlight w:val="none"/>
        </w:rPr>
        <w:t>设计资质：工程设计综合甲级资质或建筑行业设计乙级及以上资质或建筑行业（建筑工程）设计乙级及以上资质或建筑装饰工程专项设计乙级及以上资质证书</w:t>
      </w:r>
    </w:p>
    <w:p>
      <w:pPr>
        <w:rPr>
          <w:rFonts w:ascii="宋体" w:hAnsi="宋体" w:cs="宋体"/>
          <w:b/>
          <w:bCs/>
          <w:color w:val="auto"/>
          <w:sz w:val="22"/>
          <w:highlight w:val="none"/>
          <w:u w:val="single"/>
        </w:rPr>
      </w:pPr>
      <w:r>
        <w:rPr>
          <w:rFonts w:hint="eastAsia" w:ascii="宋体" w:hAnsi="宋体" w:cs="宋体"/>
          <w:color w:val="auto"/>
          <w:sz w:val="22"/>
          <w:szCs w:val="22"/>
          <w:highlight w:val="none"/>
        </w:rPr>
        <w:t>施工资质：建筑装修装饰工程专业承包贰级及以上资质证书</w:t>
      </w:r>
    </w:p>
    <w:p>
      <w:pPr>
        <w:rPr>
          <w:rFonts w:ascii="宋体" w:hAnsi="宋体" w:cs="宋体"/>
          <w:color w:val="auto"/>
          <w:spacing w:val="-6"/>
          <w:sz w:val="24"/>
          <w:highlight w:val="none"/>
        </w:rPr>
      </w:pPr>
      <w:r>
        <w:rPr>
          <w:rFonts w:hint="eastAsia" w:ascii="宋体" w:hAnsi="宋体" w:cs="宋体"/>
          <w:color w:val="auto"/>
          <w:spacing w:val="-6"/>
          <w:sz w:val="24"/>
          <w:highlight w:val="none"/>
        </w:rPr>
        <w:br w:type="page"/>
      </w:r>
    </w:p>
    <w:p>
      <w:pPr>
        <w:spacing w:after="0"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商务和技术文件封面</w:t>
      </w:r>
    </w:p>
    <w:p>
      <w:pPr>
        <w:spacing w:after="0" w:line="360" w:lineRule="auto"/>
        <w:rPr>
          <w:rFonts w:ascii="宋体" w:hAnsi="宋体" w:cs="宋体"/>
          <w:color w:val="auto"/>
          <w:spacing w:val="-6"/>
          <w:sz w:val="24"/>
          <w:highlight w:val="none"/>
        </w:rPr>
      </w:pPr>
    </w:p>
    <w:p>
      <w:pPr>
        <w:spacing w:after="0" w:line="360" w:lineRule="auto"/>
        <w:jc w:val="center"/>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w:t>
      </w:r>
    </w:p>
    <w:p>
      <w:pPr>
        <w:spacing w:after="0"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商 务 和 技 术 文 件</w:t>
      </w:r>
    </w:p>
    <w:p>
      <w:pPr>
        <w:spacing w:after="0" w:line="360" w:lineRule="auto"/>
        <w:rPr>
          <w:rFonts w:ascii="宋体" w:hAnsi="宋体" w:cs="宋体"/>
          <w:bCs/>
          <w:color w:val="auto"/>
          <w:spacing w:val="-6"/>
          <w:sz w:val="24"/>
          <w:highlight w:val="none"/>
        </w:rPr>
      </w:pP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采购人名称：</w:t>
      </w:r>
      <w:r>
        <w:rPr>
          <w:rFonts w:hint="eastAsia" w:ascii="宋体" w:hAnsi="宋体" w:cs="宋体"/>
          <w:bCs/>
          <w:color w:val="auto"/>
          <w:spacing w:val="-6"/>
          <w:sz w:val="24"/>
          <w:szCs w:val="22"/>
          <w:highlight w:val="none"/>
        </w:rPr>
        <w:t>温州大学</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项目名称：温州市“松台别业”展陈项目</w:t>
      </w:r>
    </w:p>
    <w:p>
      <w:pPr>
        <w:spacing w:after="0" w:line="360" w:lineRule="auto"/>
        <w:rPr>
          <w:rFonts w:hint="eastAsia" w:ascii="宋体" w:hAnsi="宋体" w:eastAsia="宋体" w:cs="宋体"/>
          <w:bCs/>
          <w:color w:val="auto"/>
          <w:spacing w:val="-6"/>
          <w:sz w:val="24"/>
          <w:szCs w:val="22"/>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szCs w:val="22"/>
          <w:highlight w:val="none"/>
          <w:lang w:eastAsia="zh-CN"/>
        </w:rPr>
        <w:t>WZUZFFS-JZCS-20230003</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供应商名称（CA电子公章）：</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供应商地址：</w:t>
      </w:r>
    </w:p>
    <w:p>
      <w:pPr>
        <w:spacing w:after="0" w:line="360" w:lineRule="auto"/>
        <w:rPr>
          <w:rFonts w:ascii="宋体" w:hAnsi="宋体" w:cs="宋体"/>
          <w:bCs/>
          <w:color w:val="auto"/>
          <w:spacing w:val="-6"/>
          <w:sz w:val="24"/>
          <w:highlight w:val="none"/>
        </w:rPr>
      </w:pP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供应商授权代表签字：</w:t>
      </w:r>
    </w:p>
    <w:p>
      <w:pPr>
        <w:spacing w:after="0"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日期：    年  月  日</w:t>
      </w:r>
    </w:p>
    <w:p>
      <w:pPr>
        <w:rPr>
          <w:rFonts w:ascii="宋体" w:hAnsi="宋体" w:cs="宋体"/>
          <w:bCs/>
          <w:color w:val="auto"/>
          <w:spacing w:val="-6"/>
          <w:sz w:val="24"/>
          <w:highlight w:val="none"/>
        </w:rPr>
      </w:pPr>
      <w:r>
        <w:rPr>
          <w:rFonts w:hint="eastAsia" w:ascii="宋体" w:hAnsi="宋体" w:cs="宋体"/>
          <w:bCs/>
          <w:color w:val="auto"/>
          <w:spacing w:val="-6"/>
          <w:sz w:val="24"/>
          <w:highlight w:val="none"/>
        </w:rPr>
        <w:br w:type="page"/>
      </w:r>
    </w:p>
    <w:p>
      <w:pPr>
        <w:spacing w:after="0" w:line="46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w:t>
      </w:r>
    </w:p>
    <w:p>
      <w:pPr>
        <w:spacing w:after="0" w:line="460" w:lineRule="exact"/>
        <w:jc w:val="center"/>
        <w:rPr>
          <w:rFonts w:ascii="宋体" w:hAnsi="宋体" w:cs="宋体"/>
          <w:b/>
          <w:color w:val="auto"/>
          <w:sz w:val="32"/>
          <w:highlight w:val="none"/>
        </w:rPr>
      </w:pPr>
      <w:r>
        <w:rPr>
          <w:rFonts w:hint="eastAsia" w:ascii="宋体" w:hAnsi="宋体" w:cs="宋体"/>
          <w:b/>
          <w:color w:val="auto"/>
          <w:sz w:val="32"/>
          <w:highlight w:val="none"/>
        </w:rPr>
        <w:t>评分索引表</w:t>
      </w:r>
    </w:p>
    <w:p>
      <w:pPr>
        <w:spacing w:after="0" w:line="460" w:lineRule="exact"/>
        <w:jc w:val="center"/>
        <w:rPr>
          <w:rFonts w:ascii="宋体" w:hAnsi="宋体" w:cs="宋体"/>
          <w:b/>
          <w:color w:val="auto"/>
          <w:sz w:val="32"/>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67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288" w:lineRule="auto"/>
              <w:jc w:val="center"/>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序号</w:t>
            </w:r>
          </w:p>
        </w:tc>
        <w:tc>
          <w:tcPr>
            <w:tcW w:w="7670" w:type="dxa"/>
            <w:vAlign w:val="center"/>
          </w:tcPr>
          <w:p>
            <w:pPr>
              <w:spacing w:after="0" w:line="288" w:lineRule="auto"/>
              <w:jc w:val="center"/>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评分内容</w:t>
            </w:r>
          </w:p>
        </w:tc>
        <w:tc>
          <w:tcPr>
            <w:tcW w:w="1275" w:type="dxa"/>
            <w:vAlign w:val="center"/>
          </w:tcPr>
          <w:p>
            <w:pPr>
              <w:pStyle w:val="121"/>
              <w:spacing w:after="0" w:line="288" w:lineRule="auto"/>
              <w:jc w:val="center"/>
              <w:rPr>
                <w:rFonts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bCs/>
                <w:color w:val="auto"/>
                <w:kern w:val="0"/>
                <w:sz w:val="22"/>
                <w:szCs w:val="22"/>
                <w:highlight w:val="none"/>
              </w:rPr>
            </w:pPr>
            <w:r>
              <w:rPr>
                <w:rFonts w:hint="eastAsia" w:ascii="宋体" w:hAnsi="宋体" w:cs="宋体"/>
                <w:bCs/>
                <w:color w:val="auto"/>
                <w:sz w:val="22"/>
                <w:szCs w:val="22"/>
                <w:highlight w:val="none"/>
              </w:rPr>
              <w:t>1</w:t>
            </w:r>
          </w:p>
        </w:tc>
        <w:tc>
          <w:tcPr>
            <w:tcW w:w="7670" w:type="dxa"/>
            <w:vAlign w:val="center"/>
          </w:tcPr>
          <w:p>
            <w:pPr>
              <w:spacing w:after="0" w:line="300" w:lineRule="exact"/>
              <w:jc w:val="left"/>
              <w:rPr>
                <w:rFonts w:ascii="宋体" w:hAnsi="宋体" w:cs="宋体"/>
                <w:color w:val="auto"/>
                <w:kern w:val="0"/>
                <w:sz w:val="22"/>
                <w:szCs w:val="22"/>
                <w:highlight w:val="none"/>
              </w:rPr>
            </w:pPr>
          </w:p>
        </w:tc>
        <w:tc>
          <w:tcPr>
            <w:tcW w:w="1275" w:type="dxa"/>
            <w:vAlign w:val="center"/>
          </w:tcPr>
          <w:p>
            <w:pPr>
              <w:pStyle w:val="16"/>
              <w:spacing w:after="0" w:line="288" w:lineRule="auto"/>
              <w:ind w:firstLine="0"/>
              <w:rPr>
                <w:rFonts w:hAnsi="宋体" w:cs="宋体"/>
                <w:color w:val="auto"/>
                <w:spacing w:val="-6"/>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bCs/>
                <w:color w:val="auto"/>
                <w:kern w:val="0"/>
                <w:sz w:val="22"/>
                <w:szCs w:val="22"/>
                <w:highlight w:val="none"/>
              </w:rPr>
            </w:pPr>
            <w:r>
              <w:rPr>
                <w:rFonts w:hint="eastAsia" w:ascii="宋体" w:hAnsi="宋体" w:cs="宋体"/>
                <w:bCs/>
                <w:color w:val="auto"/>
                <w:sz w:val="22"/>
                <w:szCs w:val="22"/>
                <w:highlight w:val="none"/>
              </w:rPr>
              <w:t>2</w:t>
            </w:r>
          </w:p>
        </w:tc>
        <w:tc>
          <w:tcPr>
            <w:tcW w:w="7670" w:type="dxa"/>
            <w:vAlign w:val="center"/>
          </w:tcPr>
          <w:p>
            <w:pPr>
              <w:spacing w:after="0" w:line="300" w:lineRule="exact"/>
              <w:jc w:val="left"/>
              <w:rPr>
                <w:rFonts w:ascii="宋体" w:hAnsi="宋体" w:cs="宋体"/>
                <w:color w:val="auto"/>
                <w:kern w:val="0"/>
                <w:sz w:val="22"/>
                <w:szCs w:val="22"/>
                <w:highlight w:val="none"/>
              </w:rPr>
            </w:pPr>
          </w:p>
        </w:tc>
        <w:tc>
          <w:tcPr>
            <w:tcW w:w="1275" w:type="dxa"/>
            <w:vAlign w:val="center"/>
          </w:tcPr>
          <w:p>
            <w:pPr>
              <w:pStyle w:val="16"/>
              <w:spacing w:after="0" w:line="288" w:lineRule="auto"/>
              <w:ind w:firstLine="0"/>
              <w:rPr>
                <w:rFonts w:hAnsi="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7670" w:type="dxa"/>
            <w:vAlign w:val="center"/>
          </w:tcPr>
          <w:p>
            <w:pPr>
              <w:spacing w:after="0" w:line="300" w:lineRule="exact"/>
              <w:jc w:val="left"/>
              <w:rPr>
                <w:rFonts w:ascii="宋体" w:hAnsi="宋体" w:cs="宋体"/>
                <w:color w:val="auto"/>
                <w:kern w:val="0"/>
                <w:sz w:val="22"/>
                <w:szCs w:val="22"/>
                <w:highlight w:val="none"/>
              </w:rPr>
            </w:pPr>
          </w:p>
        </w:tc>
        <w:tc>
          <w:tcPr>
            <w:tcW w:w="1275" w:type="dxa"/>
            <w:vAlign w:val="center"/>
          </w:tcPr>
          <w:p>
            <w:pPr>
              <w:pStyle w:val="16"/>
              <w:spacing w:after="0" w:line="288" w:lineRule="auto"/>
              <w:ind w:firstLine="0"/>
              <w:rPr>
                <w:rFonts w:hAnsi="宋体" w:cs="宋体"/>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bCs/>
                <w:color w:val="auto"/>
                <w:spacing w:val="-6"/>
                <w:sz w:val="22"/>
                <w:szCs w:val="22"/>
                <w:highlight w:val="none"/>
              </w:rPr>
            </w:pPr>
            <w:r>
              <w:rPr>
                <w:rFonts w:hint="eastAsia" w:ascii="宋体" w:hAnsi="宋体" w:cs="宋体"/>
                <w:bCs/>
                <w:color w:val="auto"/>
                <w:sz w:val="22"/>
                <w:szCs w:val="22"/>
                <w:highlight w:val="none"/>
              </w:rPr>
              <w:t>4</w:t>
            </w:r>
          </w:p>
        </w:tc>
        <w:tc>
          <w:tcPr>
            <w:tcW w:w="7670" w:type="dxa"/>
            <w:vAlign w:val="center"/>
          </w:tcPr>
          <w:p>
            <w:pPr>
              <w:spacing w:after="0" w:line="300" w:lineRule="exact"/>
              <w:rPr>
                <w:rFonts w:ascii="宋体" w:hAnsi="宋体" w:cs="宋体"/>
                <w:color w:val="auto"/>
                <w:sz w:val="22"/>
                <w:szCs w:val="22"/>
                <w:highlight w:val="none"/>
              </w:rPr>
            </w:pPr>
          </w:p>
        </w:tc>
        <w:tc>
          <w:tcPr>
            <w:tcW w:w="1275" w:type="dxa"/>
          </w:tcPr>
          <w:p>
            <w:pPr>
              <w:spacing w:after="0" w:line="288" w:lineRule="auto"/>
              <w:rPr>
                <w:rFonts w:ascii="宋体"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color w:val="auto"/>
                <w:spacing w:val="-6"/>
                <w:sz w:val="22"/>
                <w:szCs w:val="22"/>
                <w:highlight w:val="none"/>
              </w:rPr>
            </w:pPr>
            <w:r>
              <w:rPr>
                <w:rFonts w:hint="eastAsia" w:ascii="宋体" w:hAnsi="宋体" w:cs="宋体"/>
                <w:color w:val="auto"/>
                <w:sz w:val="22"/>
                <w:szCs w:val="22"/>
                <w:highlight w:val="none"/>
              </w:rPr>
              <w:t>5</w:t>
            </w:r>
          </w:p>
        </w:tc>
        <w:tc>
          <w:tcPr>
            <w:tcW w:w="7670" w:type="dxa"/>
            <w:vAlign w:val="center"/>
          </w:tcPr>
          <w:p>
            <w:pPr>
              <w:spacing w:after="0" w:line="300" w:lineRule="exact"/>
              <w:rPr>
                <w:rFonts w:ascii="宋体" w:hAnsi="宋体" w:cs="宋体"/>
                <w:color w:val="auto"/>
                <w:sz w:val="22"/>
                <w:szCs w:val="22"/>
                <w:highlight w:val="none"/>
              </w:rPr>
            </w:pPr>
          </w:p>
        </w:tc>
        <w:tc>
          <w:tcPr>
            <w:tcW w:w="1275" w:type="dxa"/>
          </w:tcPr>
          <w:p>
            <w:pPr>
              <w:spacing w:after="0" w:line="288" w:lineRule="auto"/>
              <w:rPr>
                <w:rFonts w:ascii="宋体"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color w:val="auto"/>
                <w:spacing w:val="-6"/>
                <w:sz w:val="22"/>
                <w:szCs w:val="22"/>
                <w:highlight w:val="none"/>
              </w:rPr>
            </w:pPr>
            <w:r>
              <w:rPr>
                <w:rFonts w:hint="eastAsia" w:ascii="宋体" w:hAnsi="宋体" w:cs="宋体"/>
                <w:color w:val="auto"/>
                <w:sz w:val="22"/>
                <w:szCs w:val="22"/>
                <w:highlight w:val="none"/>
              </w:rPr>
              <w:t>6</w:t>
            </w:r>
          </w:p>
        </w:tc>
        <w:tc>
          <w:tcPr>
            <w:tcW w:w="7670" w:type="dxa"/>
            <w:vAlign w:val="center"/>
          </w:tcPr>
          <w:p>
            <w:pPr>
              <w:spacing w:after="0" w:line="288" w:lineRule="auto"/>
              <w:jc w:val="left"/>
              <w:rPr>
                <w:rFonts w:ascii="宋体" w:hAnsi="宋体" w:cs="宋体"/>
                <w:color w:val="auto"/>
                <w:sz w:val="22"/>
                <w:szCs w:val="22"/>
                <w:highlight w:val="none"/>
              </w:rPr>
            </w:pPr>
          </w:p>
        </w:tc>
        <w:tc>
          <w:tcPr>
            <w:tcW w:w="1275" w:type="dxa"/>
          </w:tcPr>
          <w:p>
            <w:pPr>
              <w:spacing w:after="0" w:line="288" w:lineRule="auto"/>
              <w:rPr>
                <w:rFonts w:ascii="宋体"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color w:val="auto"/>
                <w:spacing w:val="-6"/>
                <w:sz w:val="22"/>
                <w:szCs w:val="22"/>
                <w:highlight w:val="none"/>
              </w:rPr>
            </w:pPr>
            <w:r>
              <w:rPr>
                <w:rFonts w:hint="eastAsia" w:ascii="宋体" w:hAnsi="宋体" w:cs="宋体"/>
                <w:color w:val="auto"/>
                <w:sz w:val="22"/>
                <w:szCs w:val="22"/>
                <w:highlight w:val="none"/>
              </w:rPr>
              <w:t>7</w:t>
            </w:r>
          </w:p>
        </w:tc>
        <w:tc>
          <w:tcPr>
            <w:tcW w:w="7670" w:type="dxa"/>
            <w:vAlign w:val="center"/>
          </w:tcPr>
          <w:p>
            <w:pPr>
              <w:spacing w:after="0" w:line="288" w:lineRule="auto"/>
              <w:jc w:val="left"/>
              <w:rPr>
                <w:rFonts w:ascii="宋体" w:hAnsi="宋体" w:cs="宋体"/>
                <w:color w:val="auto"/>
                <w:sz w:val="22"/>
                <w:szCs w:val="22"/>
                <w:highlight w:val="none"/>
              </w:rPr>
            </w:pPr>
          </w:p>
        </w:tc>
        <w:tc>
          <w:tcPr>
            <w:tcW w:w="1275" w:type="dxa"/>
          </w:tcPr>
          <w:p>
            <w:pPr>
              <w:spacing w:after="0" w:line="288" w:lineRule="auto"/>
              <w:rPr>
                <w:rFonts w:ascii="宋体"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color w:val="auto"/>
                <w:spacing w:val="-6"/>
                <w:sz w:val="22"/>
                <w:szCs w:val="22"/>
                <w:highlight w:val="none"/>
              </w:rPr>
            </w:pPr>
            <w:r>
              <w:rPr>
                <w:rFonts w:hint="eastAsia" w:ascii="宋体" w:hAnsi="宋体" w:cs="宋体"/>
                <w:color w:val="auto"/>
                <w:sz w:val="22"/>
                <w:szCs w:val="22"/>
                <w:highlight w:val="none"/>
              </w:rPr>
              <w:t>8</w:t>
            </w:r>
          </w:p>
        </w:tc>
        <w:tc>
          <w:tcPr>
            <w:tcW w:w="7670" w:type="dxa"/>
            <w:vAlign w:val="center"/>
          </w:tcPr>
          <w:p>
            <w:pPr>
              <w:spacing w:after="0" w:line="288" w:lineRule="auto"/>
              <w:jc w:val="left"/>
              <w:rPr>
                <w:rFonts w:ascii="宋体" w:hAnsi="宋体" w:cs="宋体"/>
                <w:color w:val="auto"/>
                <w:sz w:val="22"/>
                <w:szCs w:val="22"/>
                <w:highlight w:val="none"/>
              </w:rPr>
            </w:pPr>
          </w:p>
        </w:tc>
        <w:tc>
          <w:tcPr>
            <w:tcW w:w="1275" w:type="dxa"/>
          </w:tcPr>
          <w:p>
            <w:pPr>
              <w:spacing w:after="0" w:line="288" w:lineRule="auto"/>
              <w:rPr>
                <w:rFonts w:ascii="宋体"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color w:val="auto"/>
                <w:spacing w:val="-6"/>
                <w:sz w:val="22"/>
                <w:szCs w:val="22"/>
                <w:highlight w:val="none"/>
              </w:rPr>
            </w:pPr>
            <w:r>
              <w:rPr>
                <w:rFonts w:hint="eastAsia" w:ascii="宋体" w:hAnsi="宋体" w:cs="宋体"/>
                <w:color w:val="auto"/>
                <w:sz w:val="22"/>
                <w:szCs w:val="22"/>
                <w:highlight w:val="none"/>
              </w:rPr>
              <w:t>9</w:t>
            </w:r>
          </w:p>
        </w:tc>
        <w:tc>
          <w:tcPr>
            <w:tcW w:w="7670" w:type="dxa"/>
            <w:vAlign w:val="center"/>
          </w:tcPr>
          <w:p>
            <w:pPr>
              <w:spacing w:after="0" w:line="288" w:lineRule="auto"/>
              <w:rPr>
                <w:rFonts w:ascii="宋体" w:hAnsi="宋体" w:cs="宋体"/>
                <w:color w:val="auto"/>
                <w:sz w:val="22"/>
                <w:szCs w:val="22"/>
                <w:highlight w:val="none"/>
              </w:rPr>
            </w:pPr>
          </w:p>
        </w:tc>
        <w:tc>
          <w:tcPr>
            <w:tcW w:w="1275" w:type="dxa"/>
          </w:tcPr>
          <w:p>
            <w:pPr>
              <w:spacing w:after="0" w:line="288" w:lineRule="auto"/>
              <w:rPr>
                <w:rFonts w:ascii="宋体" w:hAnsi="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2" w:type="dxa"/>
            <w:vAlign w:val="center"/>
          </w:tcPr>
          <w:p>
            <w:pPr>
              <w:spacing w:after="0" w:line="300" w:lineRule="exact"/>
              <w:jc w:val="center"/>
              <w:rPr>
                <w:rFonts w:ascii="宋体" w:hAnsi="宋体" w:cs="宋体"/>
                <w:color w:val="auto"/>
                <w:spacing w:val="-6"/>
                <w:sz w:val="22"/>
                <w:szCs w:val="22"/>
                <w:highlight w:val="none"/>
              </w:rPr>
            </w:pPr>
            <w:r>
              <w:rPr>
                <w:rFonts w:hint="eastAsia" w:ascii="宋体" w:hAnsi="宋体" w:cs="宋体"/>
                <w:color w:val="auto"/>
                <w:sz w:val="22"/>
                <w:szCs w:val="22"/>
                <w:highlight w:val="none"/>
              </w:rPr>
              <w:t>...</w:t>
            </w:r>
          </w:p>
        </w:tc>
        <w:tc>
          <w:tcPr>
            <w:tcW w:w="7670" w:type="dxa"/>
            <w:vAlign w:val="center"/>
          </w:tcPr>
          <w:p>
            <w:pPr>
              <w:spacing w:after="0" w:line="288" w:lineRule="auto"/>
              <w:jc w:val="left"/>
              <w:rPr>
                <w:rFonts w:ascii="宋体" w:hAnsi="宋体" w:cs="宋体"/>
                <w:color w:val="auto"/>
                <w:sz w:val="22"/>
                <w:szCs w:val="22"/>
                <w:highlight w:val="none"/>
              </w:rPr>
            </w:pPr>
          </w:p>
        </w:tc>
        <w:tc>
          <w:tcPr>
            <w:tcW w:w="1275" w:type="dxa"/>
          </w:tcPr>
          <w:p>
            <w:pPr>
              <w:spacing w:after="0" w:line="288" w:lineRule="auto"/>
              <w:rPr>
                <w:rFonts w:ascii="宋体" w:hAnsi="宋体" w:cs="宋体"/>
                <w:bCs/>
                <w:color w:val="auto"/>
                <w:sz w:val="22"/>
                <w:szCs w:val="22"/>
                <w:highlight w:val="none"/>
              </w:rPr>
            </w:pPr>
          </w:p>
        </w:tc>
      </w:tr>
    </w:tbl>
    <w:p>
      <w:pPr>
        <w:pStyle w:val="8"/>
        <w:spacing w:after="0" w:line="360" w:lineRule="auto"/>
        <w:rPr>
          <w:rFonts w:hAnsi="宋体" w:cs="宋体"/>
          <w:b/>
          <w:color w:val="auto"/>
          <w:sz w:val="22"/>
          <w:szCs w:val="22"/>
          <w:highlight w:val="none"/>
        </w:rPr>
      </w:pPr>
      <w:r>
        <w:rPr>
          <w:rFonts w:hint="eastAsia" w:hAnsi="宋体" w:cs="宋体"/>
          <w:b/>
          <w:color w:val="auto"/>
          <w:sz w:val="22"/>
          <w:szCs w:val="22"/>
          <w:highlight w:val="none"/>
        </w:rPr>
        <w:t>说明：</w:t>
      </w:r>
    </w:p>
    <w:p>
      <w:pPr>
        <w:pStyle w:val="8"/>
        <w:spacing w:after="0" w:line="360" w:lineRule="auto"/>
        <w:ind w:firstLine="442" w:firstLineChars="200"/>
        <w:rPr>
          <w:rFonts w:hAnsi="宋体" w:cs="宋体"/>
          <w:b/>
          <w:color w:val="auto"/>
          <w:sz w:val="22"/>
          <w:szCs w:val="22"/>
          <w:highlight w:val="none"/>
        </w:rPr>
      </w:pPr>
      <w:r>
        <w:rPr>
          <w:rFonts w:hint="eastAsia" w:hAnsi="宋体" w:cs="宋体"/>
          <w:b/>
          <w:color w:val="auto"/>
          <w:sz w:val="22"/>
          <w:szCs w:val="22"/>
          <w:highlight w:val="none"/>
        </w:rPr>
        <w:t>1.各供应商在响应文件最前页根据本评标细则制作评分索引表，清楚标注响应内容及证明材料的所在页码。</w:t>
      </w:r>
    </w:p>
    <w:p>
      <w:pPr>
        <w:pStyle w:val="8"/>
        <w:spacing w:after="0" w:line="360" w:lineRule="auto"/>
        <w:ind w:firstLine="442" w:firstLineChars="200"/>
        <w:rPr>
          <w:rFonts w:hAnsi="宋体" w:cs="宋体"/>
          <w:b/>
          <w:color w:val="auto"/>
          <w:sz w:val="22"/>
          <w:szCs w:val="22"/>
          <w:highlight w:val="none"/>
        </w:rPr>
      </w:pPr>
      <w:r>
        <w:rPr>
          <w:rFonts w:hint="eastAsia" w:hAnsi="宋体" w:cs="宋体"/>
          <w:b/>
          <w:color w:val="auto"/>
          <w:sz w:val="22"/>
          <w:szCs w:val="22"/>
          <w:highlight w:val="none"/>
        </w:rPr>
        <w:t>2.响应文件由供应商根据磋商文件要求参照附件格式编制。</w:t>
      </w:r>
    </w:p>
    <w:p>
      <w:pPr>
        <w:pStyle w:val="8"/>
        <w:spacing w:after="0" w:line="360" w:lineRule="auto"/>
        <w:ind w:firstLine="442" w:firstLineChars="200"/>
        <w:rPr>
          <w:rFonts w:hAnsi="宋体" w:cs="宋体"/>
          <w:b/>
          <w:color w:val="auto"/>
          <w:sz w:val="22"/>
          <w:szCs w:val="22"/>
          <w:highlight w:val="none"/>
        </w:rPr>
      </w:pPr>
      <w:r>
        <w:rPr>
          <w:rFonts w:hint="eastAsia" w:hAnsi="宋体" w:cs="宋体"/>
          <w:b/>
          <w:color w:val="auto"/>
          <w:sz w:val="22"/>
          <w:szCs w:val="22"/>
          <w:highlight w:val="none"/>
        </w:rPr>
        <w:t>3.附件中有参考格式的参照格式，没有参考格式的自行编制。</w:t>
      </w:r>
    </w:p>
    <w:p>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p>
    <w:p>
      <w:pPr>
        <w:pStyle w:val="8"/>
        <w:spacing w:after="0" w:line="360" w:lineRule="auto"/>
        <w:rPr>
          <w:rFonts w:hAnsi="宋体" w:cs="宋体"/>
          <w:b/>
          <w:color w:val="auto"/>
          <w:sz w:val="24"/>
          <w:szCs w:val="24"/>
          <w:highlight w:val="none"/>
        </w:rPr>
      </w:pPr>
      <w:r>
        <w:rPr>
          <w:rFonts w:hint="eastAsia" w:hAnsi="宋体" w:cs="宋体"/>
          <w:b/>
          <w:color w:val="auto"/>
          <w:sz w:val="24"/>
          <w:szCs w:val="24"/>
          <w:highlight w:val="none"/>
        </w:rPr>
        <w:t>附件5</w:t>
      </w:r>
    </w:p>
    <w:p>
      <w:pPr>
        <w:spacing w:after="0"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法定代表人资格证明书</w:t>
      </w:r>
    </w:p>
    <w:p>
      <w:pPr>
        <w:spacing w:after="0" w:line="480" w:lineRule="auto"/>
        <w:jc w:val="left"/>
        <w:rPr>
          <w:rFonts w:ascii="宋体" w:hAnsi="宋体" w:cs="宋体"/>
          <w:b/>
          <w:color w:val="auto"/>
          <w:sz w:val="24"/>
          <w:highlight w:val="none"/>
        </w:rPr>
      </w:pPr>
      <w:r>
        <w:rPr>
          <w:rFonts w:hint="eastAsia" w:ascii="宋体" w:hAnsi="宋体" w:cs="宋体"/>
          <w:color w:val="auto"/>
          <w:sz w:val="24"/>
          <w:szCs w:val="24"/>
          <w:highlight w:val="none"/>
        </w:rPr>
        <w:t>温州大学、浙江乐诚工程咨询有限公司</w:t>
      </w:r>
      <w:r>
        <w:rPr>
          <w:rFonts w:hint="eastAsia" w:ascii="宋体" w:hAnsi="宋体" w:cs="宋体"/>
          <w:b/>
          <w:color w:val="auto"/>
          <w:sz w:val="24"/>
          <w:highlight w:val="none"/>
        </w:rPr>
        <w:t>：</w:t>
      </w:r>
    </w:p>
    <w:p>
      <w:pPr>
        <w:spacing w:after="0" w:line="48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职务，是我单位的法定代表人。</w:t>
      </w:r>
    </w:p>
    <w:p>
      <w:pPr>
        <w:spacing w:after="0" w:line="48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after="0" w:line="360" w:lineRule="auto"/>
        <w:jc w:val="left"/>
        <w:rPr>
          <w:rFonts w:ascii="宋体" w:hAnsi="宋体" w:cs="宋体"/>
          <w:b/>
          <w:bCs/>
          <w:color w:val="auto"/>
          <w:sz w:val="24"/>
          <w:szCs w:val="24"/>
          <w:highlight w:val="none"/>
        </w:rPr>
      </w:pPr>
    </w:p>
    <w:p>
      <w:pPr>
        <w:spacing w:after="0"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 （身份证复印附后）</w:t>
      </w:r>
    </w:p>
    <w:p>
      <w:pPr>
        <w:spacing w:after="0"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pPr>
        <w:spacing w:after="0" w:line="360" w:lineRule="auto"/>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投标单位全称（CA电子公章）</w:t>
      </w:r>
    </w:p>
    <w:p>
      <w:pPr>
        <w:spacing w:after="0"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pPr>
        <w:spacing w:after="0"/>
        <w:rPr>
          <w:rFonts w:ascii="宋体" w:hAnsi="宋体" w:cs="宋体"/>
          <w:b/>
          <w:bCs/>
          <w:color w:val="auto"/>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1250315</wp:posOffset>
                </wp:positionH>
                <wp:positionV relativeFrom="paragraph">
                  <wp:posOffset>158115</wp:posOffset>
                </wp:positionV>
                <wp:extent cx="3400425" cy="2377440"/>
                <wp:effectExtent l="4445" t="4445" r="11430" b="5715"/>
                <wp:wrapNone/>
                <wp:docPr id="2"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s="宋体"/>
                                <w:sz w:val="24"/>
                              </w:rPr>
                              <w:t>法人代表身份证复印件粘贴</w:t>
                            </w:r>
                            <w:r>
                              <w:rPr>
                                <w:rFonts w:hint="eastAsia" w:ascii="新宋体" w:hAnsi="新宋体" w:eastAsia="新宋体"/>
                                <w:sz w:val="22"/>
                              </w:rPr>
                              <w:t>：</w:t>
                            </w:r>
                          </w:p>
                        </w:txbxContent>
                      </wps:txbx>
                      <wps:bodyPr wrap="square" upright="1"/>
                    </wps:wsp>
                  </a:graphicData>
                </a:graphic>
              </wp:anchor>
            </w:drawing>
          </mc:Choice>
          <mc:Fallback>
            <w:pict>
              <v:shape id="_x0000_s1026" o:spid="_x0000_s1026" o:spt="202" type="#_x0000_t202" style="position:absolute;left:0pt;margin-left:98.45pt;margin-top:12.45pt;height:187.2pt;width:267.75pt;z-index:251660288;mso-width-relative:page;mso-height-relative:page;" fillcolor="#FFFFFF" filled="t" stroked="t" coordsize="21600,21600" o:gfxdata="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kXD5NkAAAAKAQAA&#10;DwAAAAAAAAABACAAAAAiAAAAZHJzL2Rvd25yZXYueG1sUEsBAhQAFAAAAAgAh07iQI9eLwAYAgAA&#10;RQQAAA4AAAAAAAAAAQAgAAAAKAEAAGRycy9lMm9Eb2MueG1sUEsFBgAAAAAGAAYAWQEAALIFAAAA&#10;AA==&#10;">
                <v:fill on="t" focussize="0,0"/>
                <v:stroke color="#000000" joinstyle="miter"/>
                <v:imagedata o:title=""/>
                <o:lock v:ext="edit" aspectratio="f"/>
                <v:textbox>
                  <w:txbxContent>
                    <w:p>
                      <w:r>
                        <w:rPr>
                          <w:rFonts w:hint="eastAsia" w:ascii="宋体" w:hAnsi="宋体" w:cs="宋体"/>
                          <w:sz w:val="24"/>
                        </w:rPr>
                        <w:t>法人代表身份证复印件粘贴</w:t>
                      </w:r>
                      <w:r>
                        <w:rPr>
                          <w:rFonts w:hint="eastAsia" w:ascii="新宋体" w:hAnsi="新宋体" w:eastAsia="新宋体"/>
                          <w:sz w:val="22"/>
                        </w:rPr>
                        <w:t>：</w:t>
                      </w:r>
                    </w:p>
                  </w:txbxContent>
                </v:textbox>
              </v:shape>
            </w:pict>
          </mc:Fallback>
        </mc:AlternateContent>
      </w: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pacing w:after="0"/>
        <w:rPr>
          <w:rFonts w:ascii="宋体" w:hAnsi="宋体" w:cs="宋体"/>
          <w:b/>
          <w:bCs/>
          <w:color w:val="auto"/>
          <w:sz w:val="24"/>
          <w:szCs w:val="24"/>
          <w:highlight w:val="none"/>
        </w:rPr>
      </w:pPr>
    </w:p>
    <w:p>
      <w:pPr>
        <w:snapToGrid w:val="0"/>
        <w:spacing w:after="0" w:line="460" w:lineRule="exact"/>
        <w:rPr>
          <w:rFonts w:ascii="宋体" w:hAnsi="宋体" w:cs="宋体"/>
          <w:color w:val="auto"/>
          <w:sz w:val="24"/>
          <w:szCs w:val="24"/>
          <w:highlight w:val="none"/>
        </w:rPr>
      </w:pPr>
    </w:p>
    <w:p>
      <w:pPr>
        <w:spacing w:after="0" w:line="360" w:lineRule="auto"/>
        <w:rPr>
          <w:rFonts w:ascii="宋体" w:hAnsi="宋体" w:cs="宋体"/>
          <w:b/>
          <w:bCs/>
          <w:color w:val="auto"/>
          <w:spacing w:val="-6"/>
          <w:sz w:val="24"/>
          <w:szCs w:val="22"/>
          <w:highlight w:val="none"/>
        </w:rPr>
      </w:pPr>
      <w:r>
        <w:rPr>
          <w:rFonts w:hint="eastAsia" w:ascii="宋体" w:hAnsi="宋体" w:cs="宋体"/>
          <w:b/>
          <w:bCs/>
          <w:color w:val="auto"/>
          <w:spacing w:val="-6"/>
          <w:sz w:val="24"/>
          <w:highlight w:val="none"/>
        </w:rPr>
        <w:t>说明</w:t>
      </w:r>
      <w:r>
        <w:rPr>
          <w:rFonts w:hint="eastAsia" w:ascii="宋体" w:hAnsi="宋体" w:cs="宋体"/>
          <w:b/>
          <w:bCs/>
          <w:color w:val="auto"/>
          <w:spacing w:val="-6"/>
          <w:sz w:val="24"/>
          <w:szCs w:val="22"/>
          <w:highlight w:val="none"/>
        </w:rPr>
        <w:t>：供应商的法定代表人参加投标，须在响应文件中提供法定代表人资格证明书；供应商的法定代表人委托授权代表参加投标，须在响应文件中法定代表人授权委托书。</w:t>
      </w:r>
    </w:p>
    <w:p>
      <w:pPr>
        <w:rPr>
          <w:rFonts w:ascii="宋体" w:hAnsi="宋体" w:cs="宋体"/>
          <w:b/>
          <w:bCs/>
          <w:color w:val="auto"/>
          <w:spacing w:val="-6"/>
          <w:sz w:val="24"/>
          <w:szCs w:val="22"/>
          <w:highlight w:val="none"/>
        </w:rPr>
      </w:pPr>
      <w:r>
        <w:rPr>
          <w:rFonts w:hint="eastAsia" w:ascii="宋体" w:hAnsi="宋体" w:cs="宋体"/>
          <w:b/>
          <w:bCs/>
          <w:color w:val="auto"/>
          <w:spacing w:val="-6"/>
          <w:sz w:val="24"/>
          <w:szCs w:val="22"/>
          <w:highlight w:val="none"/>
        </w:rPr>
        <w:br w:type="page"/>
      </w:r>
    </w:p>
    <w:p>
      <w:pPr>
        <w:snapToGrid w:val="0"/>
        <w:spacing w:after="0"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p>
    <w:p>
      <w:pPr>
        <w:snapToGrid w:val="0"/>
        <w:spacing w:after="0" w:line="360" w:lineRule="auto"/>
        <w:rPr>
          <w:rFonts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温州大学、浙江乐诚工程咨询有限公司</w:t>
      </w:r>
      <w:r>
        <w:rPr>
          <w:rFonts w:hint="eastAsia" w:ascii="宋体" w:hAnsi="宋体" w:cs="宋体"/>
          <w:color w:val="auto"/>
          <w:spacing w:val="-6"/>
          <w:sz w:val="24"/>
          <w:szCs w:val="24"/>
          <w:highlight w:val="none"/>
        </w:rPr>
        <w:t>：</w:t>
      </w:r>
    </w:p>
    <w:p>
      <w:pPr>
        <w:snapToGrid w:val="0"/>
        <w:spacing w:after="0"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我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（供应商名称）的法定代表人，现授权委托本单位在职职工</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（姓名）（身份证号：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）以我方的名义参加（采购人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）项目（项目编号：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pPr>
        <w:snapToGrid w:val="0"/>
        <w:spacing w:after="0"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pPr>
        <w:snapToGrid w:val="0"/>
        <w:spacing w:after="0"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after="0"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pPr>
        <w:snapToGrid w:val="0"/>
        <w:spacing w:after="0" w:line="288" w:lineRule="auto"/>
        <w:rPr>
          <w:rFonts w:ascii="宋体" w:hAnsi="宋体" w:cs="宋体"/>
          <w:color w:val="auto"/>
          <w:spacing w:val="-6"/>
          <w:sz w:val="24"/>
          <w:szCs w:val="24"/>
          <w:highlight w:val="none"/>
        </w:rPr>
      </w:pPr>
    </w:p>
    <w:p>
      <w:pPr>
        <w:snapToGrid w:val="0"/>
        <w:spacing w:after="0" w:line="288" w:lineRule="auto"/>
        <w:rPr>
          <w:rFonts w:ascii="宋体" w:hAnsi="宋体" w:cs="宋体"/>
          <w:color w:val="auto"/>
          <w:spacing w:val="-6"/>
          <w:sz w:val="24"/>
          <w:szCs w:val="24"/>
          <w:highlight w:val="none"/>
        </w:rPr>
      </w:pPr>
    </w:p>
    <w:p>
      <w:pPr>
        <w:snapToGrid w:val="0"/>
        <w:spacing w:after="0" w:line="288" w:lineRule="auto"/>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pPr>
        <w:snapToGrid w:val="0"/>
        <w:spacing w:after="0" w:line="288" w:lineRule="auto"/>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pPr>
        <w:snapToGrid w:val="0"/>
        <w:spacing w:after="0"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pPr>
        <w:snapToGrid w:val="0"/>
        <w:spacing w:after="0"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供应商名称（CA电子公章）：</w:t>
      </w:r>
    </w:p>
    <w:p>
      <w:pPr>
        <w:snapToGrid w:val="0"/>
        <w:spacing w:after="0" w:line="288"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pPr>
        <w:spacing w:after="0" w:line="288" w:lineRule="auto"/>
        <w:rPr>
          <w:rFonts w:ascii="宋体" w:hAnsi="宋体" w:cs="宋体"/>
          <w:color w:val="auto"/>
          <w:spacing w:val="-6"/>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512445</wp:posOffset>
                </wp:positionH>
                <wp:positionV relativeFrom="paragraph">
                  <wp:posOffset>148590</wp:posOffset>
                </wp:positionV>
                <wp:extent cx="5191125" cy="2360295"/>
                <wp:effectExtent l="4445" t="4445" r="11430" b="10160"/>
                <wp:wrapNone/>
                <wp:docPr id="1" name="文本框 3"/>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wrap="square" upright="1"/>
                    </wps:wsp>
                  </a:graphicData>
                </a:graphic>
              </wp:anchor>
            </w:drawing>
          </mc:Choice>
          <mc:Fallback>
            <w:pict>
              <v:shape id="文本框 3" o:spid="_x0000_s1026" o:spt="202" type="#_x0000_t202" style="position:absolute;left:0pt;margin-left:40.35pt;margin-top:11.7pt;height:185.85pt;width:408.75pt;z-index:251659264;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SlfJ2QAAAAkBAAAPAAAA&#10;AAAAAAEAIAAAACIAAABkcnMvZG93bnJldi54bWxQSwECFAAUAAAACACHTuJAoKGRkxQCAABFBAAA&#10;DgAAAAAAAAABACAAAAAoAQAAZHJzL2Uyb0RvYy54bWxQSwUGAAAAAAYABgBZAQAArgU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after="0" w:line="288" w:lineRule="auto"/>
        <w:rPr>
          <w:rFonts w:ascii="宋体" w:hAnsi="宋体" w:cs="宋体"/>
          <w:color w:val="auto"/>
          <w:spacing w:val="-6"/>
          <w:sz w:val="24"/>
          <w:szCs w:val="24"/>
          <w:highlight w:val="none"/>
        </w:rPr>
      </w:pPr>
    </w:p>
    <w:p>
      <w:pPr>
        <w:spacing w:after="0" w:line="288" w:lineRule="auto"/>
        <w:rPr>
          <w:rFonts w:ascii="宋体" w:hAnsi="宋体" w:cs="宋体"/>
          <w:color w:val="auto"/>
          <w:spacing w:val="-6"/>
          <w:sz w:val="24"/>
          <w:szCs w:val="24"/>
          <w:highlight w:val="none"/>
        </w:rPr>
      </w:pPr>
    </w:p>
    <w:p>
      <w:pPr>
        <w:spacing w:after="0" w:line="288" w:lineRule="auto"/>
        <w:rPr>
          <w:rFonts w:ascii="宋体" w:hAnsi="宋体" w:cs="宋体"/>
          <w:color w:val="auto"/>
          <w:spacing w:val="-6"/>
          <w:sz w:val="24"/>
          <w:szCs w:val="24"/>
          <w:highlight w:val="none"/>
        </w:rPr>
      </w:pPr>
    </w:p>
    <w:p>
      <w:pPr>
        <w:spacing w:after="0" w:line="288" w:lineRule="auto"/>
        <w:rPr>
          <w:rFonts w:ascii="宋体" w:hAnsi="宋体" w:cs="宋体"/>
          <w:color w:val="auto"/>
          <w:spacing w:val="-6"/>
          <w:sz w:val="24"/>
          <w:szCs w:val="24"/>
          <w:highlight w:val="none"/>
        </w:rPr>
      </w:pPr>
    </w:p>
    <w:p>
      <w:pPr>
        <w:spacing w:after="0" w:line="288" w:lineRule="auto"/>
        <w:rPr>
          <w:rFonts w:ascii="宋体" w:hAnsi="宋体" w:cs="宋体"/>
          <w:color w:val="auto"/>
          <w:spacing w:val="-6"/>
          <w:sz w:val="24"/>
          <w:szCs w:val="24"/>
          <w:highlight w:val="none"/>
        </w:rPr>
      </w:pPr>
    </w:p>
    <w:p>
      <w:pPr>
        <w:spacing w:after="0" w:line="288" w:lineRule="auto"/>
        <w:rPr>
          <w:rFonts w:ascii="宋体" w:hAnsi="宋体" w:cs="宋体"/>
          <w:color w:val="auto"/>
          <w:spacing w:val="-6"/>
          <w:sz w:val="24"/>
          <w:szCs w:val="24"/>
          <w:highlight w:val="none"/>
        </w:rPr>
      </w:pPr>
    </w:p>
    <w:p>
      <w:pPr>
        <w:spacing w:after="0" w:line="288" w:lineRule="auto"/>
        <w:rPr>
          <w:rFonts w:ascii="宋体" w:hAnsi="宋体" w:cs="宋体"/>
          <w:color w:val="auto"/>
          <w:spacing w:val="-6"/>
          <w:sz w:val="24"/>
          <w:szCs w:val="24"/>
          <w:highlight w:val="none"/>
        </w:rPr>
      </w:pPr>
    </w:p>
    <w:p>
      <w:pPr>
        <w:spacing w:after="0" w:line="288" w:lineRule="auto"/>
        <w:rPr>
          <w:rFonts w:ascii="宋体" w:hAnsi="宋体" w:cs="宋体"/>
          <w:color w:val="auto"/>
          <w:spacing w:val="-6"/>
          <w:sz w:val="24"/>
          <w:szCs w:val="24"/>
          <w:highlight w:val="none"/>
        </w:rPr>
      </w:pPr>
    </w:p>
    <w:p>
      <w:pPr>
        <w:spacing w:after="0"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pPr>
        <w:spacing w:after="0" w:line="360" w:lineRule="auto"/>
        <w:ind w:firstLine="240" w:firstLineChars="100"/>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8"/>
        <w:spacing w:after="0" w:line="360" w:lineRule="auto"/>
        <w:rPr>
          <w:rFonts w:hAnsi="宋体" w:cs="宋体"/>
          <w:b/>
          <w:color w:val="auto"/>
          <w:sz w:val="24"/>
          <w:szCs w:val="24"/>
          <w:highlight w:val="none"/>
        </w:rPr>
      </w:pPr>
      <w:r>
        <w:rPr>
          <w:rFonts w:hint="eastAsia" w:hAnsi="宋体" w:cs="宋体"/>
          <w:b/>
          <w:color w:val="auto"/>
          <w:sz w:val="24"/>
          <w:szCs w:val="24"/>
          <w:highlight w:val="none"/>
        </w:rPr>
        <w:t>附件6</w:t>
      </w:r>
    </w:p>
    <w:p>
      <w:pPr>
        <w:spacing w:after="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磋商响应函</w:t>
      </w:r>
    </w:p>
    <w:p>
      <w:pPr>
        <w:spacing w:after="0"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致：温州大学、浙江乐诚工程咨询有限公司     </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方为_____________项目采购的磋商邀请（项目编号________），授权委托人________（全名、职务）经正式授权并代表_____________（磋商供应商名称）提交下述文件加密电子响应文件壹份、以介质存储的数据电文形式的备份响应文件壹份。</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(1)竞争性磋商初始报价单。</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(2)按磋商供应商须知要求提供的全部文件。</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据此函，授权委托人宣布同意如下：</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(1)所附磋商响应数量价格表中所规定的应交付的货物及提供的服务，首次价格等详见《磋商响应初始报价一览表》。</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(2)磋商供应商将按磋商文件的规定履行合同责任和义务。</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(3)磋商供应商已详细审查全部磋商文件，包括修改文件（如需要修改）以及全部参考资料和有关附件。我们完全理解并同意放弃对这方面有不明及误解的权利。</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(4)其磋商自磋商日起有效期为</w:t>
      </w:r>
      <w:r>
        <w:rPr>
          <w:rFonts w:hint="eastAsia" w:ascii="宋体" w:hAnsi="宋体" w:cs="宋体"/>
          <w:color w:val="auto"/>
          <w:sz w:val="22"/>
          <w:szCs w:val="22"/>
          <w:highlight w:val="none"/>
          <w:u w:val="single"/>
        </w:rPr>
        <w:t>90</w:t>
      </w:r>
      <w:r>
        <w:rPr>
          <w:rFonts w:hint="eastAsia" w:ascii="宋体" w:hAnsi="宋体" w:cs="宋体"/>
          <w:color w:val="auto"/>
          <w:sz w:val="22"/>
          <w:szCs w:val="22"/>
          <w:highlight w:val="none"/>
        </w:rPr>
        <w:t>日历天。</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(5)如果在递交最后报价后，磋商供应商在磋商有效期内撤回响应文件（承诺及回复等）。</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(6)磋商供应商同意提供按照采购人的可能要求的与其磋商有关的一切数据和资料，完全理解采购人不一定要接受最低价的磋商供应商。</w:t>
      </w:r>
    </w:p>
    <w:p>
      <w:pPr>
        <w:spacing w:after="0"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(7)与本磋商有关的一切正式来往通讯请寄：</w:t>
      </w:r>
    </w:p>
    <w:p>
      <w:pPr>
        <w:spacing w:after="0" w:line="360" w:lineRule="auto"/>
        <w:ind w:firstLine="440" w:firstLineChars="200"/>
        <w:rPr>
          <w:rFonts w:ascii="宋体" w:hAnsi="宋体" w:cs="宋体"/>
          <w:color w:val="auto"/>
          <w:sz w:val="22"/>
          <w:szCs w:val="22"/>
          <w:highlight w:val="none"/>
        </w:rPr>
      </w:pPr>
    </w:p>
    <w:p>
      <w:pPr>
        <w:spacing w:after="0" w:line="360" w:lineRule="auto"/>
        <w:rPr>
          <w:rFonts w:ascii="宋体" w:hAnsi="宋体" w:cs="宋体"/>
          <w:color w:val="auto"/>
          <w:sz w:val="22"/>
          <w:szCs w:val="22"/>
          <w:highlight w:val="none"/>
        </w:rPr>
      </w:pPr>
      <w:r>
        <w:rPr>
          <w:rFonts w:hint="eastAsia" w:ascii="宋体" w:hAnsi="宋体" w:cs="宋体"/>
          <w:color w:val="auto"/>
          <w:sz w:val="22"/>
          <w:szCs w:val="22"/>
          <w:highlight w:val="none"/>
        </w:rPr>
        <w:t>磋商供应商地址：</w:t>
      </w:r>
      <w:r>
        <w:rPr>
          <w:rFonts w:hint="eastAsia" w:ascii="宋体" w:hAnsi="宋体" w:cs="宋体"/>
          <w:color w:val="auto"/>
          <w:spacing w:val="-6"/>
          <w:sz w:val="24"/>
          <w:szCs w:val="24"/>
          <w:highlight w:val="none"/>
          <w:u w:val="single"/>
        </w:rPr>
        <w:t xml:space="preserve">         </w:t>
      </w:r>
    </w:p>
    <w:p>
      <w:pPr>
        <w:spacing w:after="0" w:line="360" w:lineRule="auto"/>
        <w:rPr>
          <w:rFonts w:ascii="宋体" w:hAnsi="宋体" w:cs="宋体"/>
          <w:color w:val="auto"/>
          <w:sz w:val="22"/>
          <w:szCs w:val="22"/>
          <w:highlight w:val="none"/>
        </w:rPr>
      </w:pPr>
      <w:r>
        <w:rPr>
          <w:rFonts w:hint="eastAsia" w:ascii="宋体" w:hAnsi="宋体" w:cs="宋体"/>
          <w:color w:val="auto"/>
          <w:sz w:val="22"/>
          <w:szCs w:val="22"/>
          <w:highlight w:val="none"/>
        </w:rPr>
        <w:t>邮编：</w:t>
      </w:r>
      <w:r>
        <w:rPr>
          <w:rFonts w:hint="eastAsia" w:ascii="宋体" w:hAnsi="宋体" w:cs="宋体"/>
          <w:color w:val="auto"/>
          <w:spacing w:val="-6"/>
          <w:sz w:val="24"/>
          <w:szCs w:val="24"/>
          <w:highlight w:val="none"/>
          <w:u w:val="single"/>
        </w:rPr>
        <w:t xml:space="preserve">         </w:t>
      </w:r>
    </w:p>
    <w:p>
      <w:pPr>
        <w:spacing w:after="0" w:line="360" w:lineRule="auto"/>
        <w:rPr>
          <w:rFonts w:ascii="宋体" w:hAnsi="宋体" w:cs="宋体"/>
          <w:color w:val="auto"/>
          <w:sz w:val="22"/>
          <w:szCs w:val="22"/>
          <w:highlight w:val="none"/>
        </w:rPr>
      </w:pPr>
      <w:r>
        <w:rPr>
          <w:rFonts w:hint="eastAsia" w:ascii="宋体" w:hAnsi="宋体" w:cs="宋体"/>
          <w:color w:val="auto"/>
          <w:sz w:val="22"/>
          <w:szCs w:val="22"/>
          <w:highlight w:val="none"/>
        </w:rPr>
        <w:t>电话：</w:t>
      </w:r>
      <w:r>
        <w:rPr>
          <w:rFonts w:hint="eastAsia" w:ascii="宋体" w:hAnsi="宋体" w:cs="宋体"/>
          <w:color w:val="auto"/>
          <w:spacing w:val="-6"/>
          <w:sz w:val="24"/>
          <w:szCs w:val="24"/>
          <w:highlight w:val="none"/>
          <w:u w:val="single"/>
        </w:rPr>
        <w:t xml:space="preserve">         </w:t>
      </w:r>
      <w:r>
        <w:rPr>
          <w:rFonts w:hint="eastAsia" w:ascii="宋体" w:hAnsi="宋体" w:cs="宋体"/>
          <w:color w:val="auto"/>
          <w:sz w:val="22"/>
          <w:szCs w:val="22"/>
          <w:highlight w:val="none"/>
        </w:rPr>
        <w:t xml:space="preserve">  </w:t>
      </w:r>
    </w:p>
    <w:p>
      <w:pPr>
        <w:spacing w:after="0" w:line="360" w:lineRule="auto"/>
        <w:rPr>
          <w:rFonts w:ascii="宋体" w:hAnsi="宋体" w:cs="宋体"/>
          <w:color w:val="auto"/>
          <w:sz w:val="22"/>
          <w:szCs w:val="22"/>
          <w:highlight w:val="none"/>
        </w:rPr>
      </w:pPr>
      <w:r>
        <w:rPr>
          <w:rFonts w:hint="eastAsia" w:ascii="宋体" w:hAnsi="宋体" w:cs="宋体"/>
          <w:color w:val="auto"/>
          <w:sz w:val="22"/>
          <w:szCs w:val="22"/>
          <w:highlight w:val="none"/>
        </w:rPr>
        <w:t>传真：</w:t>
      </w:r>
      <w:r>
        <w:rPr>
          <w:rFonts w:hint="eastAsia" w:ascii="宋体" w:hAnsi="宋体" w:cs="宋体"/>
          <w:color w:val="auto"/>
          <w:spacing w:val="-6"/>
          <w:sz w:val="24"/>
          <w:szCs w:val="24"/>
          <w:highlight w:val="none"/>
          <w:u w:val="single"/>
        </w:rPr>
        <w:t xml:space="preserve">         </w:t>
      </w:r>
    </w:p>
    <w:p>
      <w:pPr>
        <w:spacing w:after="0" w:line="360" w:lineRule="auto"/>
        <w:rPr>
          <w:rFonts w:ascii="宋体" w:hAnsi="宋体" w:cs="宋体"/>
          <w:color w:val="auto"/>
          <w:sz w:val="22"/>
          <w:szCs w:val="22"/>
          <w:highlight w:val="none"/>
        </w:rPr>
      </w:pP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spacing w:after="0" w:line="360" w:lineRule="auto"/>
        <w:rPr>
          <w:rFonts w:ascii="宋体" w:hAnsi="宋体" w:cs="宋体"/>
          <w:color w:val="auto"/>
          <w:sz w:val="24"/>
          <w:szCs w:val="24"/>
          <w:highlight w:val="none"/>
        </w:rPr>
      </w:pPr>
      <w:r>
        <w:rPr>
          <w:rFonts w:hint="eastAsia" w:ascii="宋体" w:hAnsi="宋体" w:cs="宋体"/>
          <w:b/>
          <w:color w:val="auto"/>
          <w:sz w:val="24"/>
          <w:szCs w:val="24"/>
          <w:highlight w:val="none"/>
        </w:rPr>
        <w:t>附件7</w:t>
      </w:r>
    </w:p>
    <w:p>
      <w:pPr>
        <w:autoSpaceDE w:val="0"/>
        <w:autoSpaceDN w:val="0"/>
        <w:adjustRightInd w:val="0"/>
        <w:spacing w:after="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磋商响应供应商基本情况介绍</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2507"/>
        <w:gridCol w:w="1366"/>
        <w:gridCol w:w="1023"/>
        <w:gridCol w:w="596"/>
        <w:gridCol w:w="1154"/>
        <w:gridCol w:w="10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单位名称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单位地址 </w:t>
            </w:r>
          </w:p>
        </w:tc>
        <w:tc>
          <w:tcPr>
            <w:tcW w:w="3781" w:type="dxa"/>
            <w:gridSpan w:val="4"/>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联系电话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p>
        </w:tc>
        <w:tc>
          <w:tcPr>
            <w:tcW w:w="3781" w:type="dxa"/>
            <w:gridSpan w:val="4"/>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成立时间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注册资金(万元) </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75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固定资产(万元) </w:t>
            </w:r>
          </w:p>
        </w:tc>
        <w:tc>
          <w:tcPr>
            <w:tcW w:w="1008" w:type="dxa"/>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21" w:type="dxa"/>
            <w:tcBorders>
              <w:top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法人代表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技术负责人 </w:t>
            </w:r>
          </w:p>
        </w:tc>
        <w:tc>
          <w:tcPr>
            <w:tcW w:w="3781" w:type="dxa"/>
            <w:gridSpan w:val="4"/>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restart"/>
            <w:tcBorders>
              <w:top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资质等级情况 </w:t>
            </w:r>
          </w:p>
        </w:tc>
        <w:tc>
          <w:tcPr>
            <w:tcW w:w="2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资质名称 </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资质等级 </w:t>
            </w:r>
          </w:p>
        </w:tc>
        <w:tc>
          <w:tcPr>
            <w:tcW w:w="2162" w:type="dxa"/>
            <w:gridSpan w:val="2"/>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颁发时间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continue"/>
            <w:tcBorders>
              <w:top w:val="single" w:color="auto" w:sz="4" w:space="0"/>
              <w:bottom w:val="single" w:color="auto" w:sz="4" w:space="0"/>
              <w:right w:val="single" w:color="auto" w:sz="4" w:space="0"/>
            </w:tcBorders>
            <w:vAlign w:val="center"/>
          </w:tcPr>
          <w:p>
            <w:pPr>
              <w:widowControl/>
              <w:spacing w:after="0"/>
              <w:jc w:val="left"/>
              <w:rPr>
                <w:rFonts w:ascii="宋体" w:hAnsi="宋体" w:cs="宋体"/>
                <w:color w:val="auto"/>
                <w:kern w:val="0"/>
                <w:sz w:val="22"/>
                <w:szCs w:val="22"/>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2162" w:type="dxa"/>
            <w:gridSpan w:val="2"/>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21" w:type="dxa"/>
            <w:vMerge w:val="continue"/>
            <w:tcBorders>
              <w:top w:val="single" w:color="auto" w:sz="4" w:space="0"/>
              <w:bottom w:val="single" w:color="auto" w:sz="4" w:space="0"/>
              <w:right w:val="single" w:color="auto" w:sz="4" w:space="0"/>
            </w:tcBorders>
            <w:vAlign w:val="center"/>
          </w:tcPr>
          <w:p>
            <w:pPr>
              <w:widowControl/>
              <w:spacing w:after="0"/>
              <w:jc w:val="left"/>
              <w:rPr>
                <w:rFonts w:ascii="宋体" w:hAnsi="宋体" w:cs="宋体"/>
                <w:color w:val="auto"/>
                <w:kern w:val="0"/>
                <w:sz w:val="22"/>
                <w:szCs w:val="22"/>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c>
          <w:tcPr>
            <w:tcW w:w="2162" w:type="dxa"/>
            <w:gridSpan w:val="2"/>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1" w:hRule="atLeast"/>
          <w:jc w:val="center"/>
        </w:trPr>
        <w:tc>
          <w:tcPr>
            <w:tcW w:w="1721" w:type="dxa"/>
            <w:tcBorders>
              <w:top w:val="single" w:color="auto" w:sz="4" w:space="0"/>
              <w:bottom w:val="single" w:color="auto" w:sz="4" w:space="0"/>
              <w:right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其他有竞争力 </w:t>
            </w:r>
          </w:p>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的说明 </w:t>
            </w:r>
          </w:p>
        </w:tc>
        <w:tc>
          <w:tcPr>
            <w:tcW w:w="7654" w:type="dxa"/>
            <w:gridSpan w:val="6"/>
            <w:tcBorders>
              <w:top w:val="single" w:color="auto" w:sz="4" w:space="0"/>
              <w:left w:val="single" w:color="auto" w:sz="4" w:space="0"/>
              <w:bottom w:val="single" w:color="auto" w:sz="4" w:space="0"/>
            </w:tcBorders>
            <w:vAlign w:val="center"/>
          </w:tcPr>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pPr>
              <w:widowControl/>
              <w:adjustRightInd w:val="0"/>
              <w:snapToGrid w:val="0"/>
              <w:spacing w:after="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tc>
      </w:tr>
    </w:tbl>
    <w:p>
      <w:pPr>
        <w:widowControl/>
        <w:adjustRightInd w:val="0"/>
        <w:snapToGrid w:val="0"/>
        <w:spacing w:after="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本表后附公司介绍。</w:t>
      </w: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spacing w:after="0" w:line="360" w:lineRule="auto"/>
        <w:ind w:left="723" w:hanging="723" w:hangingChars="300"/>
        <w:rPr>
          <w:rFonts w:ascii="宋体" w:hAnsi="宋体" w:cs="宋体"/>
          <w:b/>
          <w:color w:val="auto"/>
          <w:sz w:val="24"/>
          <w:szCs w:val="24"/>
          <w:highlight w:val="none"/>
        </w:rPr>
      </w:pPr>
      <w:r>
        <w:rPr>
          <w:rFonts w:hint="eastAsia" w:ascii="宋体" w:hAnsi="宋体" w:cs="宋体"/>
          <w:b/>
          <w:color w:val="auto"/>
          <w:sz w:val="24"/>
          <w:szCs w:val="24"/>
          <w:highlight w:val="none"/>
        </w:rPr>
        <w:t>附件8</w:t>
      </w:r>
    </w:p>
    <w:p>
      <w:pPr>
        <w:spacing w:after="0" w:line="360" w:lineRule="auto"/>
        <w:jc w:val="center"/>
        <w:rPr>
          <w:rFonts w:ascii="宋体" w:hAnsi="宋体" w:cs="宋体"/>
          <w:b/>
          <w:color w:val="auto"/>
          <w:spacing w:val="-6"/>
          <w:sz w:val="24"/>
          <w:highlight w:val="none"/>
        </w:rPr>
      </w:pPr>
      <w:r>
        <w:rPr>
          <w:rFonts w:hint="eastAsia" w:ascii="宋体" w:hAnsi="宋体" w:cs="宋体"/>
          <w:b/>
          <w:color w:val="auto"/>
          <w:spacing w:val="-6"/>
          <w:sz w:val="24"/>
          <w:highlight w:val="none"/>
        </w:rPr>
        <w:t>响应声明书</w:t>
      </w:r>
    </w:p>
    <w:p>
      <w:pPr>
        <w:spacing w:after="0" w:line="480"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sz w:val="24"/>
          <w:szCs w:val="24"/>
          <w:highlight w:val="none"/>
        </w:rPr>
        <w:t>温州大学、浙江乐诚工程咨询有限公司</w:t>
      </w:r>
      <w:r>
        <w:rPr>
          <w:rFonts w:hint="eastAsia" w:ascii="宋体" w:hAnsi="宋体" w:cs="宋体"/>
          <w:color w:val="auto"/>
          <w:spacing w:val="-6"/>
          <w:sz w:val="24"/>
          <w:szCs w:val="24"/>
          <w:highlight w:val="none"/>
        </w:rPr>
        <w:t>：</w:t>
      </w:r>
    </w:p>
    <w:p>
      <w:pPr>
        <w:spacing w:after="0" w:line="480" w:lineRule="auto"/>
        <w:ind w:firstLine="440" w:firstLineChars="200"/>
        <w:rPr>
          <w:rFonts w:ascii="宋体" w:hAnsi="宋体" w:cs="宋体"/>
          <w:color w:val="auto"/>
          <w:spacing w:val="-6"/>
          <w:sz w:val="24"/>
          <w:szCs w:val="24"/>
          <w:highlight w:val="none"/>
        </w:rPr>
      </w:pPr>
      <w:r>
        <w:rPr>
          <w:rFonts w:hint="eastAsia" w:ascii="宋体" w:hAnsi="宋体" w:cs="宋体"/>
          <w:color w:val="auto"/>
          <w:sz w:val="22"/>
          <w:szCs w:val="22"/>
          <w:highlight w:val="none"/>
        </w:rPr>
        <w:t>________</w:t>
      </w:r>
      <w:r>
        <w:rPr>
          <w:rFonts w:hint="eastAsia" w:ascii="宋体" w:hAnsi="宋体" w:cs="宋体"/>
          <w:color w:val="auto"/>
          <w:spacing w:val="-6"/>
          <w:sz w:val="24"/>
          <w:szCs w:val="24"/>
          <w:highlight w:val="none"/>
        </w:rPr>
        <w:t>（供应商名称）系中华人民共和国合法企业，经营地址</w:t>
      </w:r>
      <w:r>
        <w:rPr>
          <w:rFonts w:hint="eastAsia" w:ascii="宋体" w:hAnsi="宋体" w:cs="宋体"/>
          <w:color w:val="auto"/>
          <w:sz w:val="22"/>
          <w:szCs w:val="22"/>
          <w:highlight w:val="none"/>
        </w:rPr>
        <w:t>_______</w:t>
      </w:r>
      <w:r>
        <w:rPr>
          <w:rFonts w:hint="eastAsia" w:ascii="宋体" w:hAnsi="宋体" w:cs="宋体"/>
          <w:color w:val="auto"/>
          <w:spacing w:val="-6"/>
          <w:sz w:val="24"/>
          <w:szCs w:val="24"/>
          <w:highlight w:val="none"/>
        </w:rPr>
        <w:t>。</w:t>
      </w:r>
    </w:p>
    <w:p>
      <w:pPr>
        <w:spacing w:after="0" w:line="48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我方愿意参加贵方组织的</w:t>
      </w:r>
      <w:r>
        <w:rPr>
          <w:rFonts w:hint="eastAsia" w:ascii="宋体" w:hAnsi="宋体" w:cs="宋体"/>
          <w:color w:val="auto"/>
          <w:sz w:val="22"/>
          <w:szCs w:val="22"/>
          <w:highlight w:val="none"/>
        </w:rPr>
        <w:t>_______</w:t>
      </w:r>
      <w:r>
        <w:rPr>
          <w:rFonts w:hint="eastAsia" w:ascii="宋体" w:hAnsi="宋体" w:cs="宋体"/>
          <w:color w:val="auto"/>
          <w:spacing w:val="-6"/>
          <w:sz w:val="24"/>
          <w:szCs w:val="24"/>
          <w:highlight w:val="none"/>
        </w:rPr>
        <w:t>（采购人名称）</w:t>
      </w:r>
      <w:r>
        <w:rPr>
          <w:rFonts w:hint="eastAsia" w:ascii="宋体" w:hAnsi="宋体" w:cs="宋体"/>
          <w:color w:val="auto"/>
          <w:sz w:val="22"/>
          <w:szCs w:val="22"/>
          <w:highlight w:val="none"/>
        </w:rPr>
        <w:t>_______</w:t>
      </w:r>
      <w:r>
        <w:rPr>
          <w:rFonts w:hint="eastAsia" w:ascii="宋体" w:hAnsi="宋体" w:cs="宋体"/>
          <w:bCs/>
          <w:color w:val="auto"/>
          <w:spacing w:val="-6"/>
          <w:sz w:val="24"/>
          <w:szCs w:val="24"/>
          <w:highlight w:val="none"/>
        </w:rPr>
        <w:t>项目</w:t>
      </w:r>
      <w:r>
        <w:rPr>
          <w:rFonts w:hint="eastAsia" w:ascii="宋体" w:hAnsi="宋体" w:cs="宋体"/>
          <w:color w:val="auto"/>
          <w:spacing w:val="-6"/>
          <w:sz w:val="24"/>
          <w:szCs w:val="24"/>
          <w:highlight w:val="none"/>
        </w:rPr>
        <w:t>的磋商响应，为便于贵方公正、择优地确定成交供应商及其磋商响应产品和服务，我方就本次磋商有关事项郑重声明如下：</w:t>
      </w:r>
    </w:p>
    <w:p>
      <w:pPr>
        <w:spacing w:after="0" w:line="48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1、我方向贵方提交的所有响应文件、资料都是准确的和真实的；</w:t>
      </w:r>
    </w:p>
    <w:p>
      <w:pPr>
        <w:spacing w:after="0" w:line="48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2、我方不是采购人的附属机构；在获知本项目采购信息后，与采购人聘请的为此项目提供咨询服务的公司及其附属机构没有任何联系。</w:t>
      </w:r>
    </w:p>
    <w:p>
      <w:pPr>
        <w:pStyle w:val="16"/>
        <w:spacing w:after="0" w:line="48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3、以上事项如有虚假或隐瞒，我方愿意承担一切后果和责任。</w:t>
      </w:r>
    </w:p>
    <w:p>
      <w:pPr>
        <w:adjustRightInd w:val="0"/>
        <w:spacing w:after="0" w:line="360" w:lineRule="auto"/>
        <w:jc w:val="left"/>
        <w:rPr>
          <w:rFonts w:ascii="宋体" w:hAnsi="宋体" w:cs="宋体"/>
          <w:color w:val="auto"/>
          <w:spacing w:val="-6"/>
          <w:sz w:val="24"/>
          <w:szCs w:val="24"/>
          <w:highlight w:val="none"/>
        </w:rPr>
      </w:pP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spacing w:after="0" w:line="40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附件9 </w:t>
      </w:r>
    </w:p>
    <w:p>
      <w:pPr>
        <w:spacing w:after="0" w:line="400" w:lineRule="exact"/>
        <w:jc w:val="center"/>
        <w:rPr>
          <w:rFonts w:ascii="宋体" w:hAnsi="宋体" w:cs="宋体"/>
          <w:b/>
          <w:color w:val="auto"/>
          <w:sz w:val="24"/>
          <w:highlight w:val="none"/>
        </w:rPr>
      </w:pPr>
      <w:r>
        <w:rPr>
          <w:rFonts w:hint="eastAsia" w:ascii="宋体" w:hAnsi="宋体" w:cs="宋体"/>
          <w:b/>
          <w:color w:val="auto"/>
          <w:sz w:val="24"/>
          <w:highlight w:val="none"/>
        </w:rPr>
        <w:t>类似项目业绩一览表（如有）</w:t>
      </w:r>
    </w:p>
    <w:p>
      <w:pPr>
        <w:spacing w:after="0" w:line="400" w:lineRule="exact"/>
        <w:rPr>
          <w:rFonts w:ascii="宋体" w:hAnsi="宋体" w:cs="宋体"/>
          <w:color w:val="auto"/>
          <w:sz w:val="24"/>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71"/>
        <w:gridCol w:w="1273"/>
        <w:gridCol w:w="1593"/>
        <w:gridCol w:w="1838"/>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071"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采购人</w:t>
            </w:r>
          </w:p>
        </w:tc>
        <w:tc>
          <w:tcPr>
            <w:tcW w:w="1273"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1593"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合同金额</w:t>
            </w:r>
          </w:p>
        </w:tc>
        <w:tc>
          <w:tcPr>
            <w:tcW w:w="1838"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合同签订时间</w:t>
            </w:r>
          </w:p>
        </w:tc>
        <w:tc>
          <w:tcPr>
            <w:tcW w:w="2955" w:type="dxa"/>
            <w:vAlign w:val="center"/>
          </w:tcPr>
          <w:p>
            <w:pPr>
              <w:spacing w:after="0"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采购人联系人、联系方式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pPr>
              <w:spacing w:after="0" w:line="400" w:lineRule="exact"/>
              <w:jc w:val="center"/>
              <w:rPr>
                <w:rFonts w:ascii="宋体" w:hAnsi="宋体" w:cs="宋体"/>
                <w:color w:val="auto"/>
                <w:sz w:val="22"/>
                <w:szCs w:val="22"/>
                <w:highlight w:val="none"/>
              </w:rPr>
            </w:pPr>
          </w:p>
        </w:tc>
        <w:tc>
          <w:tcPr>
            <w:tcW w:w="1071" w:type="dxa"/>
            <w:vAlign w:val="center"/>
          </w:tcPr>
          <w:p>
            <w:pPr>
              <w:spacing w:after="0" w:line="400" w:lineRule="exact"/>
              <w:jc w:val="center"/>
              <w:rPr>
                <w:rFonts w:ascii="宋体" w:hAnsi="宋体" w:cs="宋体"/>
                <w:color w:val="auto"/>
                <w:sz w:val="22"/>
                <w:szCs w:val="22"/>
                <w:highlight w:val="none"/>
              </w:rPr>
            </w:pPr>
          </w:p>
        </w:tc>
        <w:tc>
          <w:tcPr>
            <w:tcW w:w="1273" w:type="dxa"/>
            <w:vAlign w:val="center"/>
          </w:tcPr>
          <w:p>
            <w:pPr>
              <w:spacing w:after="0" w:line="400" w:lineRule="exact"/>
              <w:jc w:val="center"/>
              <w:rPr>
                <w:rFonts w:ascii="宋体" w:hAnsi="宋体" w:cs="宋体"/>
                <w:color w:val="auto"/>
                <w:sz w:val="22"/>
                <w:szCs w:val="22"/>
                <w:highlight w:val="none"/>
              </w:rPr>
            </w:pPr>
          </w:p>
        </w:tc>
        <w:tc>
          <w:tcPr>
            <w:tcW w:w="1593" w:type="dxa"/>
            <w:vAlign w:val="center"/>
          </w:tcPr>
          <w:p>
            <w:pPr>
              <w:spacing w:after="0" w:line="400" w:lineRule="exact"/>
              <w:jc w:val="center"/>
              <w:rPr>
                <w:rFonts w:ascii="宋体" w:hAnsi="宋体" w:cs="宋体"/>
                <w:color w:val="auto"/>
                <w:sz w:val="22"/>
                <w:szCs w:val="22"/>
                <w:highlight w:val="none"/>
              </w:rPr>
            </w:pPr>
          </w:p>
        </w:tc>
        <w:tc>
          <w:tcPr>
            <w:tcW w:w="1838" w:type="dxa"/>
            <w:vAlign w:val="center"/>
          </w:tcPr>
          <w:p>
            <w:pPr>
              <w:spacing w:after="0" w:line="400" w:lineRule="exact"/>
              <w:jc w:val="center"/>
              <w:rPr>
                <w:rFonts w:ascii="宋体" w:hAnsi="宋体" w:cs="宋体"/>
                <w:color w:val="auto"/>
                <w:sz w:val="22"/>
                <w:szCs w:val="22"/>
                <w:highlight w:val="none"/>
              </w:rPr>
            </w:pPr>
          </w:p>
        </w:tc>
        <w:tc>
          <w:tcPr>
            <w:tcW w:w="2955" w:type="dxa"/>
            <w:vAlign w:val="center"/>
          </w:tcPr>
          <w:p>
            <w:pPr>
              <w:spacing w:after="0"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pPr>
              <w:spacing w:after="0" w:line="400" w:lineRule="exact"/>
              <w:jc w:val="center"/>
              <w:rPr>
                <w:rFonts w:ascii="宋体" w:hAnsi="宋体" w:cs="宋体"/>
                <w:color w:val="auto"/>
                <w:sz w:val="22"/>
                <w:szCs w:val="22"/>
                <w:highlight w:val="none"/>
              </w:rPr>
            </w:pPr>
          </w:p>
        </w:tc>
        <w:tc>
          <w:tcPr>
            <w:tcW w:w="1071" w:type="dxa"/>
            <w:vAlign w:val="center"/>
          </w:tcPr>
          <w:p>
            <w:pPr>
              <w:spacing w:after="0" w:line="400" w:lineRule="exact"/>
              <w:jc w:val="center"/>
              <w:rPr>
                <w:rFonts w:ascii="宋体" w:hAnsi="宋体" w:cs="宋体"/>
                <w:color w:val="auto"/>
                <w:sz w:val="22"/>
                <w:szCs w:val="22"/>
                <w:highlight w:val="none"/>
              </w:rPr>
            </w:pPr>
          </w:p>
        </w:tc>
        <w:tc>
          <w:tcPr>
            <w:tcW w:w="1273" w:type="dxa"/>
            <w:vAlign w:val="center"/>
          </w:tcPr>
          <w:p>
            <w:pPr>
              <w:spacing w:after="0" w:line="400" w:lineRule="exact"/>
              <w:jc w:val="center"/>
              <w:rPr>
                <w:rFonts w:ascii="宋体" w:hAnsi="宋体" w:cs="宋体"/>
                <w:color w:val="auto"/>
                <w:sz w:val="22"/>
                <w:szCs w:val="22"/>
                <w:highlight w:val="none"/>
              </w:rPr>
            </w:pPr>
          </w:p>
        </w:tc>
        <w:tc>
          <w:tcPr>
            <w:tcW w:w="1593" w:type="dxa"/>
            <w:vAlign w:val="center"/>
          </w:tcPr>
          <w:p>
            <w:pPr>
              <w:spacing w:after="0" w:line="400" w:lineRule="exact"/>
              <w:jc w:val="center"/>
              <w:rPr>
                <w:rFonts w:ascii="宋体" w:hAnsi="宋体" w:cs="宋体"/>
                <w:color w:val="auto"/>
                <w:sz w:val="22"/>
                <w:szCs w:val="22"/>
                <w:highlight w:val="none"/>
              </w:rPr>
            </w:pPr>
          </w:p>
        </w:tc>
        <w:tc>
          <w:tcPr>
            <w:tcW w:w="1838" w:type="dxa"/>
            <w:vAlign w:val="center"/>
          </w:tcPr>
          <w:p>
            <w:pPr>
              <w:spacing w:after="0" w:line="400" w:lineRule="exact"/>
              <w:jc w:val="center"/>
              <w:rPr>
                <w:rFonts w:ascii="宋体" w:hAnsi="宋体" w:cs="宋体"/>
                <w:color w:val="auto"/>
                <w:sz w:val="22"/>
                <w:szCs w:val="22"/>
                <w:highlight w:val="none"/>
              </w:rPr>
            </w:pPr>
          </w:p>
        </w:tc>
        <w:tc>
          <w:tcPr>
            <w:tcW w:w="2955" w:type="dxa"/>
            <w:vAlign w:val="center"/>
          </w:tcPr>
          <w:p>
            <w:pPr>
              <w:spacing w:after="0"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pPr>
              <w:spacing w:after="0" w:line="400" w:lineRule="exact"/>
              <w:jc w:val="center"/>
              <w:rPr>
                <w:rFonts w:ascii="宋体" w:hAnsi="宋体" w:cs="宋体"/>
                <w:color w:val="auto"/>
                <w:sz w:val="22"/>
                <w:szCs w:val="22"/>
                <w:highlight w:val="none"/>
              </w:rPr>
            </w:pPr>
          </w:p>
        </w:tc>
        <w:tc>
          <w:tcPr>
            <w:tcW w:w="1071" w:type="dxa"/>
            <w:vAlign w:val="center"/>
          </w:tcPr>
          <w:p>
            <w:pPr>
              <w:spacing w:after="0" w:line="400" w:lineRule="exact"/>
              <w:jc w:val="center"/>
              <w:rPr>
                <w:rFonts w:ascii="宋体" w:hAnsi="宋体" w:cs="宋体"/>
                <w:color w:val="auto"/>
                <w:sz w:val="22"/>
                <w:szCs w:val="22"/>
                <w:highlight w:val="none"/>
              </w:rPr>
            </w:pPr>
          </w:p>
        </w:tc>
        <w:tc>
          <w:tcPr>
            <w:tcW w:w="1273" w:type="dxa"/>
            <w:vAlign w:val="center"/>
          </w:tcPr>
          <w:p>
            <w:pPr>
              <w:spacing w:after="0" w:line="400" w:lineRule="exact"/>
              <w:jc w:val="center"/>
              <w:rPr>
                <w:rFonts w:ascii="宋体" w:hAnsi="宋体" w:cs="宋体"/>
                <w:color w:val="auto"/>
                <w:sz w:val="22"/>
                <w:szCs w:val="22"/>
                <w:highlight w:val="none"/>
              </w:rPr>
            </w:pPr>
          </w:p>
        </w:tc>
        <w:tc>
          <w:tcPr>
            <w:tcW w:w="1593" w:type="dxa"/>
            <w:vAlign w:val="center"/>
          </w:tcPr>
          <w:p>
            <w:pPr>
              <w:spacing w:after="0" w:line="400" w:lineRule="exact"/>
              <w:jc w:val="center"/>
              <w:rPr>
                <w:rFonts w:ascii="宋体" w:hAnsi="宋体" w:cs="宋体"/>
                <w:color w:val="auto"/>
                <w:sz w:val="22"/>
                <w:szCs w:val="22"/>
                <w:highlight w:val="none"/>
              </w:rPr>
            </w:pPr>
          </w:p>
        </w:tc>
        <w:tc>
          <w:tcPr>
            <w:tcW w:w="1838" w:type="dxa"/>
            <w:vAlign w:val="center"/>
          </w:tcPr>
          <w:p>
            <w:pPr>
              <w:spacing w:after="0" w:line="400" w:lineRule="exact"/>
              <w:jc w:val="center"/>
              <w:rPr>
                <w:rFonts w:ascii="宋体" w:hAnsi="宋体" w:cs="宋体"/>
                <w:color w:val="auto"/>
                <w:sz w:val="22"/>
                <w:szCs w:val="22"/>
                <w:highlight w:val="none"/>
              </w:rPr>
            </w:pPr>
          </w:p>
        </w:tc>
        <w:tc>
          <w:tcPr>
            <w:tcW w:w="2955" w:type="dxa"/>
            <w:vAlign w:val="center"/>
          </w:tcPr>
          <w:p>
            <w:pPr>
              <w:spacing w:after="0"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pPr>
              <w:spacing w:after="0" w:line="400" w:lineRule="exact"/>
              <w:jc w:val="center"/>
              <w:rPr>
                <w:rFonts w:ascii="宋体" w:hAnsi="宋体" w:cs="宋体"/>
                <w:color w:val="auto"/>
                <w:sz w:val="22"/>
                <w:szCs w:val="22"/>
                <w:highlight w:val="none"/>
              </w:rPr>
            </w:pPr>
          </w:p>
        </w:tc>
        <w:tc>
          <w:tcPr>
            <w:tcW w:w="1071" w:type="dxa"/>
            <w:vAlign w:val="center"/>
          </w:tcPr>
          <w:p>
            <w:pPr>
              <w:spacing w:after="0" w:line="400" w:lineRule="exact"/>
              <w:jc w:val="center"/>
              <w:rPr>
                <w:rFonts w:ascii="宋体" w:hAnsi="宋体" w:cs="宋体"/>
                <w:color w:val="auto"/>
                <w:sz w:val="22"/>
                <w:szCs w:val="22"/>
                <w:highlight w:val="none"/>
              </w:rPr>
            </w:pPr>
          </w:p>
        </w:tc>
        <w:tc>
          <w:tcPr>
            <w:tcW w:w="1273" w:type="dxa"/>
            <w:vAlign w:val="center"/>
          </w:tcPr>
          <w:p>
            <w:pPr>
              <w:spacing w:after="0" w:line="400" w:lineRule="exact"/>
              <w:jc w:val="center"/>
              <w:rPr>
                <w:rFonts w:ascii="宋体" w:hAnsi="宋体" w:cs="宋体"/>
                <w:color w:val="auto"/>
                <w:sz w:val="22"/>
                <w:szCs w:val="22"/>
                <w:highlight w:val="none"/>
              </w:rPr>
            </w:pPr>
          </w:p>
        </w:tc>
        <w:tc>
          <w:tcPr>
            <w:tcW w:w="1593" w:type="dxa"/>
            <w:vAlign w:val="center"/>
          </w:tcPr>
          <w:p>
            <w:pPr>
              <w:spacing w:after="0" w:line="400" w:lineRule="exact"/>
              <w:jc w:val="center"/>
              <w:rPr>
                <w:rFonts w:ascii="宋体" w:hAnsi="宋体" w:cs="宋体"/>
                <w:color w:val="auto"/>
                <w:sz w:val="22"/>
                <w:szCs w:val="22"/>
                <w:highlight w:val="none"/>
              </w:rPr>
            </w:pPr>
          </w:p>
        </w:tc>
        <w:tc>
          <w:tcPr>
            <w:tcW w:w="1838" w:type="dxa"/>
            <w:vAlign w:val="center"/>
          </w:tcPr>
          <w:p>
            <w:pPr>
              <w:spacing w:after="0" w:line="400" w:lineRule="exact"/>
              <w:jc w:val="center"/>
              <w:rPr>
                <w:rFonts w:ascii="宋体" w:hAnsi="宋体" w:cs="宋体"/>
                <w:color w:val="auto"/>
                <w:sz w:val="22"/>
                <w:szCs w:val="22"/>
                <w:highlight w:val="none"/>
              </w:rPr>
            </w:pPr>
          </w:p>
        </w:tc>
        <w:tc>
          <w:tcPr>
            <w:tcW w:w="2955" w:type="dxa"/>
            <w:vAlign w:val="center"/>
          </w:tcPr>
          <w:p>
            <w:pPr>
              <w:spacing w:after="0"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pPr>
              <w:spacing w:after="0" w:line="400" w:lineRule="exact"/>
              <w:jc w:val="center"/>
              <w:rPr>
                <w:rFonts w:ascii="宋体" w:hAnsi="宋体" w:cs="宋体"/>
                <w:color w:val="auto"/>
                <w:sz w:val="22"/>
                <w:szCs w:val="22"/>
                <w:highlight w:val="none"/>
              </w:rPr>
            </w:pPr>
          </w:p>
        </w:tc>
        <w:tc>
          <w:tcPr>
            <w:tcW w:w="1071" w:type="dxa"/>
            <w:vAlign w:val="center"/>
          </w:tcPr>
          <w:p>
            <w:pPr>
              <w:spacing w:after="0" w:line="400" w:lineRule="exact"/>
              <w:jc w:val="center"/>
              <w:rPr>
                <w:rFonts w:ascii="宋体" w:hAnsi="宋体" w:cs="宋体"/>
                <w:color w:val="auto"/>
                <w:sz w:val="22"/>
                <w:szCs w:val="22"/>
                <w:highlight w:val="none"/>
              </w:rPr>
            </w:pPr>
          </w:p>
        </w:tc>
        <w:tc>
          <w:tcPr>
            <w:tcW w:w="1273" w:type="dxa"/>
            <w:vAlign w:val="center"/>
          </w:tcPr>
          <w:p>
            <w:pPr>
              <w:spacing w:after="0" w:line="400" w:lineRule="exact"/>
              <w:jc w:val="center"/>
              <w:rPr>
                <w:rFonts w:ascii="宋体" w:hAnsi="宋体" w:cs="宋体"/>
                <w:color w:val="auto"/>
                <w:sz w:val="22"/>
                <w:szCs w:val="22"/>
                <w:highlight w:val="none"/>
              </w:rPr>
            </w:pPr>
          </w:p>
        </w:tc>
        <w:tc>
          <w:tcPr>
            <w:tcW w:w="1593" w:type="dxa"/>
            <w:vAlign w:val="center"/>
          </w:tcPr>
          <w:p>
            <w:pPr>
              <w:spacing w:after="0" w:line="400" w:lineRule="exact"/>
              <w:jc w:val="center"/>
              <w:rPr>
                <w:rFonts w:ascii="宋体" w:hAnsi="宋体" w:cs="宋体"/>
                <w:color w:val="auto"/>
                <w:sz w:val="22"/>
                <w:szCs w:val="22"/>
                <w:highlight w:val="none"/>
              </w:rPr>
            </w:pPr>
          </w:p>
        </w:tc>
        <w:tc>
          <w:tcPr>
            <w:tcW w:w="1838" w:type="dxa"/>
            <w:vAlign w:val="center"/>
          </w:tcPr>
          <w:p>
            <w:pPr>
              <w:spacing w:after="0" w:line="400" w:lineRule="exact"/>
              <w:jc w:val="center"/>
              <w:rPr>
                <w:rFonts w:ascii="宋体" w:hAnsi="宋体" w:cs="宋体"/>
                <w:color w:val="auto"/>
                <w:sz w:val="22"/>
                <w:szCs w:val="22"/>
                <w:highlight w:val="none"/>
              </w:rPr>
            </w:pPr>
          </w:p>
        </w:tc>
        <w:tc>
          <w:tcPr>
            <w:tcW w:w="2955" w:type="dxa"/>
            <w:vAlign w:val="center"/>
          </w:tcPr>
          <w:p>
            <w:pPr>
              <w:spacing w:after="0" w:line="40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17" w:type="dxa"/>
            <w:vAlign w:val="center"/>
          </w:tcPr>
          <w:p>
            <w:pPr>
              <w:adjustRightInd w:val="0"/>
              <w:snapToGrid w:val="0"/>
              <w:spacing w:after="0" w:line="400" w:lineRule="exact"/>
              <w:jc w:val="center"/>
              <w:rPr>
                <w:rFonts w:ascii="宋体" w:hAnsi="宋体" w:cs="宋体"/>
                <w:color w:val="auto"/>
                <w:sz w:val="22"/>
                <w:szCs w:val="22"/>
                <w:highlight w:val="none"/>
              </w:rPr>
            </w:pPr>
          </w:p>
        </w:tc>
        <w:tc>
          <w:tcPr>
            <w:tcW w:w="1071" w:type="dxa"/>
            <w:vAlign w:val="center"/>
          </w:tcPr>
          <w:p>
            <w:pPr>
              <w:adjustRightInd w:val="0"/>
              <w:snapToGrid w:val="0"/>
              <w:spacing w:after="0" w:line="400" w:lineRule="exact"/>
              <w:jc w:val="center"/>
              <w:rPr>
                <w:rFonts w:ascii="宋体" w:hAnsi="宋体" w:cs="宋体"/>
                <w:color w:val="auto"/>
                <w:sz w:val="22"/>
                <w:szCs w:val="22"/>
                <w:highlight w:val="none"/>
              </w:rPr>
            </w:pPr>
          </w:p>
        </w:tc>
        <w:tc>
          <w:tcPr>
            <w:tcW w:w="1273" w:type="dxa"/>
            <w:vAlign w:val="center"/>
          </w:tcPr>
          <w:p>
            <w:pPr>
              <w:adjustRightInd w:val="0"/>
              <w:snapToGrid w:val="0"/>
              <w:spacing w:after="0" w:line="400" w:lineRule="exact"/>
              <w:jc w:val="center"/>
              <w:rPr>
                <w:rFonts w:ascii="宋体" w:hAnsi="宋体" w:cs="宋体"/>
                <w:color w:val="auto"/>
                <w:sz w:val="22"/>
                <w:szCs w:val="22"/>
                <w:highlight w:val="none"/>
              </w:rPr>
            </w:pPr>
          </w:p>
        </w:tc>
        <w:tc>
          <w:tcPr>
            <w:tcW w:w="1593" w:type="dxa"/>
            <w:vAlign w:val="center"/>
          </w:tcPr>
          <w:p>
            <w:pPr>
              <w:adjustRightInd w:val="0"/>
              <w:snapToGrid w:val="0"/>
              <w:spacing w:after="0" w:line="400" w:lineRule="exact"/>
              <w:jc w:val="center"/>
              <w:rPr>
                <w:rFonts w:ascii="宋体" w:hAnsi="宋体" w:cs="宋体"/>
                <w:color w:val="auto"/>
                <w:sz w:val="22"/>
                <w:szCs w:val="22"/>
                <w:highlight w:val="none"/>
              </w:rPr>
            </w:pPr>
          </w:p>
        </w:tc>
        <w:tc>
          <w:tcPr>
            <w:tcW w:w="1838" w:type="dxa"/>
            <w:vAlign w:val="center"/>
          </w:tcPr>
          <w:p>
            <w:pPr>
              <w:adjustRightInd w:val="0"/>
              <w:snapToGrid w:val="0"/>
              <w:spacing w:after="0" w:line="400" w:lineRule="exact"/>
              <w:jc w:val="center"/>
              <w:rPr>
                <w:rFonts w:ascii="宋体" w:hAnsi="宋体" w:cs="宋体"/>
                <w:color w:val="auto"/>
                <w:sz w:val="22"/>
                <w:szCs w:val="22"/>
                <w:highlight w:val="none"/>
              </w:rPr>
            </w:pPr>
          </w:p>
        </w:tc>
        <w:tc>
          <w:tcPr>
            <w:tcW w:w="2955" w:type="dxa"/>
            <w:vAlign w:val="center"/>
          </w:tcPr>
          <w:p>
            <w:pPr>
              <w:adjustRightInd w:val="0"/>
              <w:snapToGrid w:val="0"/>
              <w:spacing w:after="0" w:line="400" w:lineRule="exact"/>
              <w:jc w:val="center"/>
              <w:rPr>
                <w:rFonts w:ascii="宋体" w:hAnsi="宋体" w:cs="宋体"/>
                <w:color w:val="auto"/>
                <w:sz w:val="22"/>
                <w:szCs w:val="22"/>
                <w:highlight w:val="none"/>
              </w:rPr>
            </w:pPr>
          </w:p>
        </w:tc>
      </w:tr>
    </w:tbl>
    <w:p>
      <w:pPr>
        <w:spacing w:after="0"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注：相关证明材料附后</w:t>
      </w:r>
    </w:p>
    <w:p>
      <w:pPr>
        <w:adjustRightInd w:val="0"/>
        <w:spacing w:after="0" w:line="360" w:lineRule="auto"/>
        <w:jc w:val="left"/>
        <w:rPr>
          <w:rFonts w:ascii="宋体" w:hAnsi="宋体" w:cs="宋体"/>
          <w:color w:val="auto"/>
          <w:sz w:val="22"/>
          <w:szCs w:val="22"/>
          <w:highlight w:val="none"/>
        </w:rPr>
      </w:pP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pPr>
        <w:adjustRightInd w:val="0"/>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spacing w:after="0"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pPr>
        <w:spacing w:after="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pPr>
        <w:pStyle w:val="18"/>
        <w:spacing w:after="0"/>
        <w:ind w:left="0" w:right="0" w:rightChars="0"/>
        <w:rPr>
          <w:rFonts w:cs="宋体"/>
          <w:color w:val="auto"/>
          <w:highlight w:val="none"/>
        </w:rPr>
      </w:pPr>
      <w:r>
        <w:rPr>
          <w:rFonts w:hint="eastAsia" w:cs="宋体"/>
          <w:b/>
          <w:color w:val="auto"/>
          <w:sz w:val="24"/>
          <w:szCs w:val="24"/>
          <w:highlight w:val="none"/>
        </w:rPr>
        <w:t>项目名称：                               项目编号：</w:t>
      </w:r>
    </w:p>
    <w:tbl>
      <w:tblPr>
        <w:tblStyle w:val="3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3260" w:type="dxa"/>
            <w:vAlign w:val="center"/>
          </w:tcPr>
          <w:p>
            <w:pPr>
              <w:snapToGrid w:val="0"/>
              <w:spacing w:after="0"/>
              <w:jc w:val="center"/>
              <w:rPr>
                <w:rFonts w:ascii="宋体" w:hAnsi="宋体" w:cs="宋体"/>
                <w:b/>
                <w:color w:val="auto"/>
                <w:spacing w:val="-6"/>
                <w:sz w:val="24"/>
                <w:highlight w:val="none"/>
              </w:rPr>
            </w:pPr>
            <w:r>
              <w:rPr>
                <w:rFonts w:hint="eastAsia" w:ascii="宋体" w:hAnsi="宋体" w:cs="宋体"/>
                <w:b/>
                <w:color w:val="auto"/>
                <w:spacing w:val="-6"/>
                <w:sz w:val="24"/>
                <w:highlight w:val="none"/>
              </w:rPr>
              <w:t>磋商文件要求</w:t>
            </w:r>
          </w:p>
        </w:tc>
        <w:tc>
          <w:tcPr>
            <w:tcW w:w="3402" w:type="dxa"/>
            <w:vAlign w:val="center"/>
          </w:tcPr>
          <w:p>
            <w:pPr>
              <w:snapToGrid w:val="0"/>
              <w:spacing w:after="0"/>
              <w:jc w:val="center"/>
              <w:rPr>
                <w:rFonts w:ascii="宋体" w:hAnsi="宋体" w:cs="宋体"/>
                <w:b/>
                <w:color w:val="auto"/>
                <w:spacing w:val="-6"/>
                <w:sz w:val="24"/>
                <w:highlight w:val="none"/>
              </w:rPr>
            </w:pPr>
            <w:r>
              <w:rPr>
                <w:rFonts w:hint="eastAsia" w:ascii="宋体" w:hAnsi="宋体" w:cs="宋体"/>
                <w:b/>
                <w:color w:val="auto"/>
                <w:spacing w:val="-6"/>
                <w:sz w:val="24"/>
                <w:szCs w:val="22"/>
                <w:highlight w:val="none"/>
              </w:rPr>
              <w:t>响应文件对应规范</w:t>
            </w:r>
          </w:p>
        </w:tc>
        <w:tc>
          <w:tcPr>
            <w:tcW w:w="2127" w:type="dxa"/>
            <w:vAlign w:val="center"/>
          </w:tcPr>
          <w:p>
            <w:pPr>
              <w:snapToGrid w:val="0"/>
              <w:spacing w:after="0"/>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after="0"/>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rPr>
                <w:rFonts w:ascii="宋体" w:hAnsi="宋体" w:cs="宋体"/>
                <w:color w:val="auto"/>
                <w:spacing w:val="-6"/>
                <w:sz w:val="24"/>
                <w:szCs w:val="22"/>
                <w:highlight w:val="none"/>
              </w:rPr>
            </w:pPr>
          </w:p>
        </w:tc>
        <w:tc>
          <w:tcPr>
            <w:tcW w:w="3260" w:type="dxa"/>
            <w:vAlign w:val="center"/>
          </w:tcPr>
          <w:p>
            <w:pPr>
              <w:snapToGrid w:val="0"/>
              <w:spacing w:after="0"/>
              <w:rPr>
                <w:rFonts w:ascii="宋体" w:hAnsi="宋体" w:cs="宋体"/>
                <w:color w:val="auto"/>
                <w:spacing w:val="-6"/>
                <w:sz w:val="24"/>
                <w:szCs w:val="22"/>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rPr>
                <w:rFonts w:ascii="宋体" w:hAnsi="宋体" w:cs="宋体"/>
                <w:color w:val="auto"/>
                <w:spacing w:val="-6"/>
                <w:sz w:val="24"/>
                <w:szCs w:val="22"/>
                <w:highlight w:val="none"/>
              </w:rPr>
            </w:pPr>
          </w:p>
        </w:tc>
        <w:tc>
          <w:tcPr>
            <w:tcW w:w="3260" w:type="dxa"/>
            <w:vAlign w:val="center"/>
          </w:tcPr>
          <w:p>
            <w:pPr>
              <w:snapToGrid w:val="0"/>
              <w:spacing w:after="0"/>
              <w:rPr>
                <w:rFonts w:ascii="宋体" w:hAnsi="宋体" w:cs="宋体"/>
                <w:color w:val="auto"/>
                <w:spacing w:val="-6"/>
                <w:sz w:val="24"/>
                <w:szCs w:val="22"/>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after="0"/>
              <w:jc w:val="center"/>
              <w:rPr>
                <w:rFonts w:ascii="宋体" w:hAnsi="宋体" w:cs="宋体"/>
                <w:color w:val="auto"/>
                <w:spacing w:val="-6"/>
                <w:sz w:val="24"/>
                <w:highlight w:val="none"/>
              </w:rPr>
            </w:pPr>
          </w:p>
        </w:tc>
        <w:tc>
          <w:tcPr>
            <w:tcW w:w="3260" w:type="dxa"/>
            <w:vAlign w:val="center"/>
          </w:tcPr>
          <w:p>
            <w:pPr>
              <w:snapToGrid w:val="0"/>
              <w:spacing w:after="0"/>
              <w:jc w:val="center"/>
              <w:rPr>
                <w:rFonts w:ascii="宋体" w:hAnsi="宋体" w:cs="宋体"/>
                <w:color w:val="auto"/>
                <w:spacing w:val="-6"/>
                <w:sz w:val="24"/>
                <w:highlight w:val="none"/>
              </w:rPr>
            </w:pPr>
          </w:p>
        </w:tc>
        <w:tc>
          <w:tcPr>
            <w:tcW w:w="3402" w:type="dxa"/>
            <w:vAlign w:val="center"/>
          </w:tcPr>
          <w:p>
            <w:pPr>
              <w:snapToGrid w:val="0"/>
              <w:spacing w:after="0"/>
              <w:jc w:val="center"/>
              <w:rPr>
                <w:rFonts w:ascii="宋体" w:hAnsi="宋体" w:cs="宋体"/>
                <w:color w:val="auto"/>
                <w:spacing w:val="-6"/>
                <w:sz w:val="24"/>
                <w:highlight w:val="none"/>
              </w:rPr>
            </w:pPr>
          </w:p>
        </w:tc>
        <w:tc>
          <w:tcPr>
            <w:tcW w:w="2127" w:type="dxa"/>
            <w:vAlign w:val="center"/>
          </w:tcPr>
          <w:p>
            <w:pPr>
              <w:snapToGrid w:val="0"/>
              <w:spacing w:after="0"/>
              <w:jc w:val="center"/>
              <w:rPr>
                <w:rFonts w:ascii="宋体" w:hAnsi="宋体" w:cs="宋体"/>
                <w:color w:val="auto"/>
                <w:spacing w:val="-6"/>
                <w:sz w:val="24"/>
                <w:highlight w:val="none"/>
              </w:rPr>
            </w:pPr>
          </w:p>
        </w:tc>
      </w:tr>
    </w:tbl>
    <w:p>
      <w:pPr>
        <w:pStyle w:val="18"/>
        <w:spacing w:after="0"/>
        <w:ind w:left="0" w:right="0" w:rightChars="0"/>
        <w:rPr>
          <w:rFonts w:cs="宋体"/>
          <w:b/>
          <w:bCs/>
          <w:color w:val="auto"/>
          <w:spacing w:val="-6"/>
          <w:sz w:val="24"/>
          <w:szCs w:val="22"/>
          <w:highlight w:val="none"/>
        </w:rPr>
      </w:pPr>
    </w:p>
    <w:p>
      <w:pPr>
        <w:adjustRightInd w:val="0"/>
        <w:snapToGrid w:val="0"/>
        <w:spacing w:after="0" w:line="360" w:lineRule="auto"/>
        <w:jc w:val="left"/>
        <w:rPr>
          <w:rFonts w:ascii="宋体" w:hAnsi="宋体" w:cs="宋体"/>
          <w:b/>
          <w:bCs/>
          <w:color w:val="auto"/>
          <w:spacing w:val="-6"/>
          <w:sz w:val="24"/>
          <w:szCs w:val="22"/>
          <w:highlight w:val="none"/>
        </w:rPr>
      </w:pPr>
      <w:r>
        <w:rPr>
          <w:rFonts w:hint="eastAsia" w:ascii="宋体" w:hAnsi="宋体" w:cs="宋体"/>
          <w:b/>
          <w:bCs/>
          <w:color w:val="auto"/>
          <w:spacing w:val="-6"/>
          <w:sz w:val="24"/>
          <w:szCs w:val="22"/>
          <w:highlight w:val="none"/>
        </w:rPr>
        <w:t>注意：1.逐项按照磋商文件要求填写响应规格；未按采购需求提供相应证明材料的视为负偏离。</w:t>
      </w:r>
    </w:p>
    <w:p>
      <w:pPr>
        <w:adjustRightInd w:val="0"/>
        <w:snapToGrid w:val="0"/>
        <w:spacing w:after="0" w:line="360" w:lineRule="auto"/>
        <w:ind w:firstLine="687" w:firstLineChars="3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2.偏离说明是指对磋商文件要求存在不同之处的解释说明。偏离系指：正偏离（高于采购需求）、负偏离（低于采购需求）、无偏离（满足采购需求）；</w:t>
      </w:r>
    </w:p>
    <w:p>
      <w:pPr>
        <w:adjustRightInd w:val="0"/>
        <w:snapToGrid w:val="0"/>
        <w:spacing w:after="0" w:line="400" w:lineRule="exact"/>
        <w:ind w:firstLine="687" w:firstLineChars="300"/>
        <w:jc w:val="left"/>
        <w:rPr>
          <w:rFonts w:ascii="宋体" w:hAnsi="宋体" w:cs="宋体"/>
          <w:color w:val="auto"/>
          <w:sz w:val="22"/>
          <w:szCs w:val="22"/>
          <w:highlight w:val="none"/>
        </w:rPr>
      </w:pPr>
      <w:r>
        <w:rPr>
          <w:rFonts w:hint="eastAsia" w:ascii="宋体" w:hAnsi="宋体" w:cs="宋体"/>
          <w:b/>
          <w:bCs/>
          <w:color w:val="auto"/>
          <w:spacing w:val="-6"/>
          <w:sz w:val="24"/>
          <w:szCs w:val="22"/>
          <w:highlight w:val="none"/>
        </w:rPr>
        <w:t>3.</w:t>
      </w:r>
      <w:r>
        <w:rPr>
          <w:rFonts w:hint="eastAsia" w:ascii="宋体" w:hAnsi="宋体" w:cs="宋体"/>
          <w:b/>
          <w:bCs/>
          <w:color w:val="auto"/>
          <w:spacing w:val="-6"/>
          <w:sz w:val="24"/>
          <w:highlight w:val="none"/>
        </w:rPr>
        <w:t>如不填写或留空，则视为完全响应磋商文件的要求</w:t>
      </w:r>
      <w:r>
        <w:rPr>
          <w:rFonts w:hint="eastAsia" w:ascii="宋体" w:hAnsi="宋体" w:cs="宋体"/>
          <w:b/>
          <w:color w:val="auto"/>
          <w:spacing w:val="-6"/>
          <w:sz w:val="24"/>
          <w:highlight w:val="none"/>
        </w:rPr>
        <w:t>，自行承担投标响应风险</w:t>
      </w:r>
      <w:r>
        <w:rPr>
          <w:rFonts w:hint="eastAsia" w:ascii="宋体" w:hAnsi="宋体" w:cs="宋体"/>
          <w:b/>
          <w:bCs/>
          <w:color w:val="auto"/>
          <w:spacing w:val="-6"/>
          <w:sz w:val="24"/>
          <w:szCs w:val="22"/>
          <w:highlight w:val="none"/>
        </w:rPr>
        <w:t xml:space="preserve">。 </w:t>
      </w:r>
    </w:p>
    <w:p>
      <w:pPr>
        <w:spacing w:after="0" w:line="360" w:lineRule="auto"/>
        <w:jc w:val="left"/>
        <w:rPr>
          <w:rFonts w:ascii="宋体" w:hAnsi="宋体" w:cs="宋体"/>
          <w:color w:val="auto"/>
          <w:sz w:val="22"/>
          <w:szCs w:val="22"/>
          <w:highlight w:val="none"/>
        </w:rPr>
      </w:pP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法定代表人或其授权代表(签字或盖章)：</w:t>
      </w: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spacing w:after="0"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附件11</w:t>
      </w:r>
    </w:p>
    <w:p>
      <w:pPr>
        <w:pStyle w:val="105"/>
        <w:snapToGrid w:val="0"/>
        <w:spacing w:after="0" w:line="600" w:lineRule="exact"/>
        <w:jc w:val="center"/>
        <w:rPr>
          <w:rFonts w:hAnsi="宋体" w:eastAsia="宋体" w:cs="宋体"/>
          <w:color w:val="auto"/>
          <w:sz w:val="32"/>
          <w:szCs w:val="32"/>
          <w:highlight w:val="none"/>
        </w:rPr>
      </w:pPr>
      <w:r>
        <w:rPr>
          <w:rFonts w:hint="eastAsia" w:hAnsi="宋体" w:eastAsia="宋体" w:cs="宋体"/>
          <w:b/>
          <w:bCs/>
          <w:color w:val="auto"/>
          <w:sz w:val="32"/>
          <w:szCs w:val="32"/>
          <w:highlight w:val="none"/>
        </w:rPr>
        <w:t>政府采购活动现场确认声明书</w:t>
      </w:r>
    </w:p>
    <w:p>
      <w:pPr>
        <w:pStyle w:val="105"/>
        <w:snapToGrid w:val="0"/>
        <w:spacing w:after="0" w:line="400" w:lineRule="exact"/>
        <w:rPr>
          <w:rFonts w:hAnsi="宋体" w:eastAsia="宋体" w:cs="宋体"/>
          <w:b/>
          <w:color w:val="auto"/>
          <w:sz w:val="24"/>
          <w:szCs w:val="24"/>
          <w:highlight w:val="none"/>
        </w:rPr>
      </w:pPr>
      <w:r>
        <w:rPr>
          <w:rFonts w:hint="eastAsia" w:hAnsi="宋体" w:eastAsia="宋体" w:cs="宋体"/>
          <w:color w:val="auto"/>
          <w:kern w:val="0"/>
          <w:sz w:val="24"/>
          <w:szCs w:val="24"/>
          <w:highlight w:val="none"/>
          <w:u w:val="single"/>
        </w:rPr>
        <w:t>浙江乐诚工程咨询有限公司</w:t>
      </w:r>
      <w:r>
        <w:rPr>
          <w:rFonts w:hint="eastAsia" w:hAnsi="宋体" w:eastAsia="宋体" w:cs="宋体"/>
          <w:color w:val="auto"/>
          <w:kern w:val="0"/>
          <w:sz w:val="24"/>
          <w:szCs w:val="24"/>
          <w:highlight w:val="none"/>
        </w:rPr>
        <w:t>：</w:t>
      </w:r>
    </w:p>
    <w:p>
      <w:pPr>
        <w:pStyle w:val="105"/>
        <w:snapToGrid w:val="0"/>
        <w:spacing w:after="0" w:line="400" w:lineRule="exact"/>
        <w:ind w:firstLine="504" w:firstLineChars="200"/>
        <w:rPr>
          <w:rFonts w:hAnsi="宋体" w:eastAsia="宋体" w:cs="宋体"/>
          <w:color w:val="auto"/>
          <w:spacing w:val="6"/>
          <w:sz w:val="24"/>
          <w:szCs w:val="24"/>
          <w:highlight w:val="none"/>
        </w:rPr>
      </w:pPr>
      <w:r>
        <w:rPr>
          <w:rFonts w:hint="eastAsia" w:hAnsi="宋体" w:eastAsia="宋体" w:cs="宋体"/>
          <w:color w:val="auto"/>
          <w:spacing w:val="6"/>
          <w:sz w:val="24"/>
          <w:szCs w:val="24"/>
          <w:highlight w:val="none"/>
        </w:rPr>
        <w:t>本人经由</w:t>
      </w:r>
      <w:r>
        <w:rPr>
          <w:rFonts w:hint="eastAsia" w:hAnsi="宋体" w:eastAsia="宋体" w:cs="宋体"/>
          <w:color w:val="auto"/>
          <w:spacing w:val="6"/>
          <w:sz w:val="24"/>
          <w:szCs w:val="24"/>
          <w:highlight w:val="none"/>
          <w:u w:val="single"/>
        </w:rPr>
        <w:t xml:space="preserve">                      </w:t>
      </w:r>
      <w:r>
        <w:rPr>
          <w:rFonts w:hint="eastAsia" w:hAnsi="宋体" w:eastAsia="宋体" w:cs="宋体"/>
          <w:color w:val="auto"/>
          <w:kern w:val="0"/>
          <w:sz w:val="24"/>
          <w:szCs w:val="24"/>
          <w:highlight w:val="none"/>
          <w:u w:val="single"/>
        </w:rPr>
        <w:t>（</w:t>
      </w:r>
      <w:r>
        <w:rPr>
          <w:rFonts w:hint="eastAsia" w:hAnsi="宋体" w:eastAsia="宋体" w:cs="宋体"/>
          <w:color w:val="auto"/>
          <w:spacing w:val="6"/>
          <w:sz w:val="24"/>
          <w:szCs w:val="24"/>
          <w:highlight w:val="none"/>
          <w:u w:val="single"/>
        </w:rPr>
        <w:t>单位）</w:t>
      </w:r>
      <w:r>
        <w:rPr>
          <w:rFonts w:hint="eastAsia" w:hAnsi="宋体" w:eastAsia="宋体" w:cs="宋体"/>
          <w:color w:val="auto"/>
          <w:spacing w:val="6"/>
          <w:sz w:val="24"/>
          <w:szCs w:val="24"/>
          <w:highlight w:val="none"/>
        </w:rPr>
        <w:t>法人代表负责人</w:t>
      </w:r>
      <w:r>
        <w:rPr>
          <w:rFonts w:hint="eastAsia" w:hAnsi="宋体" w:eastAsia="宋体" w:cs="宋体"/>
          <w:color w:val="auto"/>
          <w:spacing w:val="6"/>
          <w:sz w:val="24"/>
          <w:szCs w:val="24"/>
          <w:highlight w:val="none"/>
          <w:u w:val="single"/>
        </w:rPr>
        <w:t xml:space="preserve">         （姓名）</w:t>
      </w:r>
      <w:r>
        <w:rPr>
          <w:rFonts w:hint="eastAsia" w:hAnsi="宋体" w:eastAsia="宋体" w:cs="宋体"/>
          <w:color w:val="auto"/>
          <w:spacing w:val="6"/>
          <w:sz w:val="24"/>
          <w:szCs w:val="24"/>
          <w:highlight w:val="none"/>
        </w:rPr>
        <w:t>合法授权参加</w:t>
      </w:r>
      <w:r>
        <w:rPr>
          <w:rFonts w:hint="eastAsia" w:hAnsi="宋体" w:eastAsia="宋体" w:cs="宋体"/>
          <w:color w:val="auto"/>
          <w:spacing w:val="6"/>
          <w:sz w:val="24"/>
          <w:szCs w:val="24"/>
          <w:highlight w:val="none"/>
          <w:u w:val="single"/>
        </w:rPr>
        <w:t xml:space="preserve">                          </w:t>
      </w:r>
      <w:r>
        <w:rPr>
          <w:rFonts w:hint="eastAsia" w:hAnsi="宋体" w:eastAsia="宋体" w:cs="宋体"/>
          <w:color w:val="auto"/>
          <w:spacing w:val="6"/>
          <w:sz w:val="24"/>
          <w:szCs w:val="24"/>
          <w:highlight w:val="none"/>
        </w:rPr>
        <w:t>（项目编号</w:t>
      </w:r>
      <w:r>
        <w:rPr>
          <w:rFonts w:hint="eastAsia" w:hAnsi="宋体" w:eastAsia="宋体" w:cs="宋体"/>
          <w:color w:val="auto"/>
          <w:spacing w:val="6"/>
          <w:sz w:val="24"/>
          <w:szCs w:val="24"/>
          <w:highlight w:val="none"/>
          <w:u w:val="single"/>
        </w:rPr>
        <w:t xml:space="preserve">：             </w:t>
      </w:r>
      <w:r>
        <w:rPr>
          <w:rFonts w:hint="eastAsia"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105"/>
        <w:numPr>
          <w:ilvl w:val="0"/>
          <w:numId w:val="19"/>
        </w:numPr>
        <w:snapToGrid w:val="0"/>
        <w:spacing w:after="0" w:line="400" w:lineRule="exact"/>
        <w:ind w:firstLine="240" w:firstLineChars="100"/>
        <w:rPr>
          <w:rFonts w:hAnsi="宋体" w:eastAsia="宋体" w:cs="宋体"/>
          <w:color w:val="auto"/>
          <w:kern w:val="0"/>
          <w:sz w:val="24"/>
          <w:szCs w:val="24"/>
          <w:highlight w:val="none"/>
        </w:rPr>
      </w:pPr>
      <w:r>
        <w:rPr>
          <w:rFonts w:hint="eastAsia" w:hAnsi="宋体" w:eastAsia="宋体" w:cs="宋体"/>
          <w:color w:val="auto"/>
          <w:kern w:val="0"/>
          <w:sz w:val="24"/>
          <w:szCs w:val="24"/>
          <w:highlight w:val="none"/>
        </w:rPr>
        <w:t>本单位与采购人之间□不存在利害关系 □存在下列利害关系</w:t>
      </w:r>
      <w:r>
        <w:rPr>
          <w:rFonts w:hint="eastAsia" w:hAnsi="宋体" w:eastAsia="宋体" w:cs="宋体"/>
          <w:color w:val="auto"/>
          <w:kern w:val="0"/>
          <w:sz w:val="24"/>
          <w:szCs w:val="24"/>
          <w:highlight w:val="none"/>
          <w:u w:val="single"/>
        </w:rPr>
        <w:t xml:space="preserve">           </w:t>
      </w:r>
      <w:r>
        <w:rPr>
          <w:rFonts w:hint="eastAsia" w:hAnsi="宋体" w:eastAsia="宋体" w:cs="宋体"/>
          <w:color w:val="auto"/>
          <w:kern w:val="0"/>
          <w:sz w:val="24"/>
          <w:szCs w:val="24"/>
          <w:highlight w:val="none"/>
        </w:rPr>
        <w:t>：</w:t>
      </w:r>
    </w:p>
    <w:p>
      <w:pPr>
        <w:pStyle w:val="105"/>
        <w:snapToGrid w:val="0"/>
        <w:spacing w:after="0" w:line="400" w:lineRule="exact"/>
        <w:ind w:firstLine="240" w:firstLineChars="100"/>
        <w:rPr>
          <w:rFonts w:hAnsi="宋体" w:eastAsia="宋体" w:cs="宋体"/>
          <w:color w:val="auto"/>
          <w:kern w:val="0"/>
          <w:sz w:val="24"/>
          <w:szCs w:val="24"/>
          <w:highlight w:val="none"/>
        </w:rPr>
      </w:pPr>
      <w:r>
        <w:rPr>
          <w:rFonts w:hint="eastAsia" w:hAnsi="宋体" w:eastAsia="宋体" w:cs="宋体"/>
          <w:color w:val="auto"/>
          <w:kern w:val="0"/>
          <w:sz w:val="24"/>
          <w:szCs w:val="24"/>
          <w:highlight w:val="none"/>
        </w:rPr>
        <w:t>A.投资关系    B.行政隶属关系    C.业务指导关系</w:t>
      </w:r>
    </w:p>
    <w:p>
      <w:pPr>
        <w:pStyle w:val="105"/>
        <w:snapToGrid w:val="0"/>
        <w:spacing w:after="0" w:line="400" w:lineRule="exact"/>
        <w:ind w:firstLine="240" w:firstLineChars="100"/>
        <w:rPr>
          <w:rFonts w:hAnsi="宋体" w:eastAsia="宋体" w:cs="宋体"/>
          <w:color w:val="auto"/>
          <w:kern w:val="0"/>
          <w:sz w:val="24"/>
          <w:szCs w:val="24"/>
          <w:highlight w:val="none"/>
        </w:rPr>
      </w:pPr>
      <w:r>
        <w:rPr>
          <w:rFonts w:hint="eastAsia" w:hAnsi="宋体" w:eastAsia="宋体" w:cs="宋体"/>
          <w:color w:val="auto"/>
          <w:kern w:val="0"/>
          <w:sz w:val="24"/>
          <w:szCs w:val="24"/>
          <w:highlight w:val="none"/>
        </w:rPr>
        <w:t>D.其他可能</w:t>
      </w:r>
      <w:r>
        <w:rPr>
          <w:rFonts w:hint="eastAsia" w:hAnsi="宋体" w:eastAsia="宋体" w:cs="宋体"/>
          <w:color w:val="auto"/>
          <w:sz w:val="24"/>
          <w:szCs w:val="24"/>
          <w:highlight w:val="none"/>
        </w:rPr>
        <w:t>影响采购公正的</w:t>
      </w:r>
      <w:r>
        <w:rPr>
          <w:rFonts w:hint="eastAsia" w:hAnsi="宋体" w:eastAsia="宋体" w:cs="宋体"/>
          <w:color w:val="auto"/>
          <w:kern w:val="0"/>
          <w:sz w:val="24"/>
          <w:szCs w:val="24"/>
          <w:highlight w:val="none"/>
        </w:rPr>
        <w:t>利害关系</w:t>
      </w:r>
      <w:r>
        <w:rPr>
          <w:rFonts w:hint="eastAsia" w:hAnsi="宋体" w:eastAsia="宋体" w:cs="宋体"/>
          <w:color w:val="auto"/>
          <w:kern w:val="0"/>
          <w:sz w:val="24"/>
          <w:szCs w:val="24"/>
          <w:highlight w:val="none"/>
          <w:u w:val="single"/>
        </w:rPr>
        <w:t xml:space="preserve">（如有，请如实说明）                 </w:t>
      </w:r>
      <w:r>
        <w:rPr>
          <w:rFonts w:hint="eastAsia" w:hAnsi="宋体" w:eastAsia="宋体" w:cs="宋体"/>
          <w:color w:val="auto"/>
          <w:kern w:val="0"/>
          <w:sz w:val="24"/>
          <w:szCs w:val="24"/>
          <w:highlight w:val="none"/>
        </w:rPr>
        <w:t>。</w:t>
      </w:r>
    </w:p>
    <w:p>
      <w:pPr>
        <w:pStyle w:val="99"/>
        <w:widowControl/>
        <w:snapToGrid w:val="0"/>
        <w:spacing w:after="0"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05"/>
        <w:snapToGrid w:val="0"/>
        <w:spacing w:after="0" w:line="400" w:lineRule="exact"/>
        <w:rPr>
          <w:rFonts w:hAnsi="宋体" w:eastAsia="宋体" w:cs="宋体"/>
          <w:color w:val="auto"/>
          <w:kern w:val="0"/>
          <w:sz w:val="24"/>
          <w:szCs w:val="24"/>
          <w:highlight w:val="none"/>
        </w:rPr>
      </w:pPr>
      <w:r>
        <w:rPr>
          <w:rFonts w:hint="eastAsia" w:hAnsi="宋体" w:eastAsia="宋体" w:cs="宋体"/>
          <w:color w:val="auto"/>
          <w:kern w:val="0"/>
          <w:sz w:val="24"/>
          <w:szCs w:val="24"/>
          <w:highlight w:val="none"/>
        </w:rPr>
        <w:t xml:space="preserve">  A.法定代表人或负责人或实际控制人是同一人</w:t>
      </w:r>
    </w:p>
    <w:p>
      <w:pPr>
        <w:pStyle w:val="105"/>
        <w:snapToGrid w:val="0"/>
        <w:spacing w:after="0" w:line="400" w:lineRule="exact"/>
        <w:rPr>
          <w:rFonts w:hAnsi="宋体" w:eastAsia="宋体" w:cs="宋体"/>
          <w:color w:val="auto"/>
          <w:spacing w:val="6"/>
          <w:sz w:val="24"/>
          <w:szCs w:val="24"/>
          <w:highlight w:val="none"/>
        </w:rPr>
      </w:pPr>
      <w:r>
        <w:rPr>
          <w:rFonts w:hint="eastAsia" w:hAnsi="宋体" w:eastAsia="宋体" w:cs="宋体"/>
          <w:color w:val="auto"/>
          <w:kern w:val="0"/>
          <w:sz w:val="24"/>
          <w:szCs w:val="24"/>
          <w:highlight w:val="none"/>
        </w:rPr>
        <w:t xml:space="preserve">  B.法定代表人或负责人或实际控制人是夫妻关系</w:t>
      </w:r>
    </w:p>
    <w:p>
      <w:pPr>
        <w:pStyle w:val="105"/>
        <w:snapToGrid w:val="0"/>
        <w:spacing w:after="0" w:line="400" w:lineRule="exact"/>
        <w:rPr>
          <w:rFonts w:hAnsi="宋体" w:eastAsia="宋体" w:cs="宋体"/>
          <w:color w:val="auto"/>
          <w:spacing w:val="6"/>
          <w:sz w:val="24"/>
          <w:szCs w:val="24"/>
          <w:highlight w:val="none"/>
        </w:rPr>
      </w:pPr>
      <w:r>
        <w:rPr>
          <w:rFonts w:hint="eastAsia" w:hAnsi="宋体" w:eastAsia="宋体" w:cs="宋体"/>
          <w:color w:val="auto"/>
          <w:kern w:val="0"/>
          <w:sz w:val="24"/>
          <w:szCs w:val="24"/>
          <w:highlight w:val="none"/>
        </w:rPr>
        <w:t xml:space="preserve">  C.法定代表人或负责人或实际控制人是直系血亲关系</w:t>
      </w:r>
    </w:p>
    <w:p>
      <w:pPr>
        <w:pStyle w:val="105"/>
        <w:snapToGrid w:val="0"/>
        <w:spacing w:after="0" w:line="400" w:lineRule="exact"/>
        <w:rPr>
          <w:rFonts w:hAnsi="宋体" w:eastAsia="宋体" w:cs="宋体"/>
          <w:color w:val="auto"/>
          <w:spacing w:val="6"/>
          <w:sz w:val="24"/>
          <w:szCs w:val="24"/>
          <w:highlight w:val="none"/>
        </w:rPr>
      </w:pPr>
      <w:r>
        <w:rPr>
          <w:rFonts w:hint="eastAsia" w:hAnsi="宋体" w:eastAsia="宋体" w:cs="宋体"/>
          <w:color w:val="auto"/>
          <w:kern w:val="0"/>
          <w:sz w:val="24"/>
          <w:szCs w:val="24"/>
          <w:highlight w:val="none"/>
        </w:rPr>
        <w:t xml:space="preserve">  D.法定代表人或负责人或实际控制人存在三代以内旁系血亲关系</w:t>
      </w:r>
    </w:p>
    <w:p>
      <w:pPr>
        <w:pStyle w:val="105"/>
        <w:snapToGrid w:val="0"/>
        <w:spacing w:after="0" w:line="400" w:lineRule="exact"/>
        <w:rPr>
          <w:rFonts w:hAnsi="宋体" w:eastAsia="宋体" w:cs="宋体"/>
          <w:color w:val="auto"/>
          <w:kern w:val="0"/>
          <w:sz w:val="24"/>
          <w:szCs w:val="24"/>
          <w:highlight w:val="none"/>
        </w:rPr>
      </w:pPr>
      <w:r>
        <w:rPr>
          <w:rFonts w:hint="eastAsia" w:hAnsi="宋体" w:eastAsia="宋体" w:cs="宋体"/>
          <w:color w:val="auto"/>
          <w:kern w:val="0"/>
          <w:sz w:val="24"/>
          <w:szCs w:val="24"/>
          <w:highlight w:val="none"/>
        </w:rPr>
        <w:t xml:space="preserve">  E.法定代表人或负责人或实际控制人存在近姻亲关系</w:t>
      </w:r>
    </w:p>
    <w:p>
      <w:pPr>
        <w:pStyle w:val="105"/>
        <w:snapToGrid w:val="0"/>
        <w:spacing w:after="0" w:line="400" w:lineRule="exact"/>
        <w:rPr>
          <w:rFonts w:hAnsi="宋体" w:eastAsia="宋体" w:cs="宋体"/>
          <w:color w:val="auto"/>
          <w:kern w:val="0"/>
          <w:sz w:val="24"/>
          <w:szCs w:val="24"/>
          <w:highlight w:val="none"/>
        </w:rPr>
      </w:pPr>
      <w:r>
        <w:rPr>
          <w:rFonts w:hint="eastAsia" w:hAnsi="宋体" w:eastAsia="宋体" w:cs="宋体"/>
          <w:color w:val="auto"/>
          <w:kern w:val="0"/>
          <w:sz w:val="24"/>
          <w:szCs w:val="24"/>
          <w:highlight w:val="none"/>
        </w:rPr>
        <w:t xml:space="preserve">  F.法定代表人或负责人或实际控制人存在股份控制或实际控制关系</w:t>
      </w:r>
    </w:p>
    <w:p>
      <w:pPr>
        <w:pStyle w:val="105"/>
        <w:snapToGrid w:val="0"/>
        <w:spacing w:after="0" w:line="400" w:lineRule="exact"/>
        <w:outlineLvl w:val="0"/>
        <w:rPr>
          <w:rFonts w:hAnsi="宋体" w:eastAsia="宋体" w:cs="宋体"/>
          <w:color w:val="auto"/>
          <w:kern w:val="0"/>
          <w:sz w:val="24"/>
          <w:szCs w:val="24"/>
          <w:highlight w:val="none"/>
        </w:rPr>
      </w:pPr>
      <w:r>
        <w:rPr>
          <w:rFonts w:hint="eastAsia" w:hAnsi="宋体" w:eastAsia="宋体" w:cs="宋体"/>
          <w:color w:val="auto"/>
          <w:kern w:val="0"/>
          <w:sz w:val="24"/>
          <w:szCs w:val="24"/>
          <w:highlight w:val="none"/>
        </w:rPr>
        <w:t xml:space="preserve">  G.存在共同直接或间接投资设立子公司、联营企业和合营企业情况</w:t>
      </w:r>
    </w:p>
    <w:p>
      <w:pPr>
        <w:pStyle w:val="105"/>
        <w:snapToGrid w:val="0"/>
        <w:spacing w:after="0" w:line="400" w:lineRule="exact"/>
        <w:rPr>
          <w:rFonts w:hAnsi="宋体" w:eastAsia="宋体" w:cs="宋体"/>
          <w:color w:val="auto"/>
          <w:sz w:val="24"/>
          <w:szCs w:val="24"/>
          <w:highlight w:val="none"/>
        </w:rPr>
      </w:pPr>
      <w:r>
        <w:rPr>
          <w:rFonts w:hint="eastAsia" w:hAnsi="宋体" w:eastAsia="宋体" w:cs="宋体"/>
          <w:color w:val="auto"/>
          <w:kern w:val="0"/>
          <w:sz w:val="24"/>
          <w:szCs w:val="24"/>
          <w:highlight w:val="none"/>
        </w:rPr>
        <w:t xml:space="preserve">  H.存在分级代理或代销关系、同一生产制造商关系、</w:t>
      </w:r>
      <w:r>
        <w:rPr>
          <w:rFonts w:hint="eastAsia" w:hAnsi="宋体" w:eastAsia="宋体" w:cs="宋体"/>
          <w:color w:val="auto"/>
          <w:sz w:val="24"/>
          <w:szCs w:val="24"/>
          <w:highlight w:val="none"/>
        </w:rPr>
        <w:t>管理关系、重要业务（占主营业务收入50%以上）或重要财务往来关系（如融资）等其他实质性控制关系</w:t>
      </w:r>
    </w:p>
    <w:p>
      <w:pPr>
        <w:pStyle w:val="105"/>
        <w:snapToGrid w:val="0"/>
        <w:spacing w:after="0" w:line="400" w:lineRule="exact"/>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I</w:t>
      </w:r>
      <w:r>
        <w:rPr>
          <w:rFonts w:hint="eastAsia" w:hAnsi="宋体" w:eastAsia="宋体" w:cs="宋体"/>
          <w:color w:val="auto"/>
          <w:kern w:val="0"/>
          <w:sz w:val="24"/>
          <w:szCs w:val="24"/>
          <w:highlight w:val="none"/>
        </w:rPr>
        <w:t>.</w:t>
      </w:r>
      <w:r>
        <w:rPr>
          <w:rFonts w:hint="eastAsia" w:hAnsi="宋体" w:eastAsia="宋体" w:cs="宋体"/>
          <w:color w:val="auto"/>
          <w:sz w:val="24"/>
          <w:szCs w:val="24"/>
          <w:highlight w:val="none"/>
        </w:rPr>
        <w:t>其他利害关系情况</w:t>
      </w:r>
      <w:r>
        <w:rPr>
          <w:rFonts w:hint="eastAsia" w:hAnsi="宋体" w:eastAsia="宋体" w:cs="宋体"/>
          <w:color w:val="auto"/>
          <w:sz w:val="24"/>
          <w:szCs w:val="24"/>
          <w:highlight w:val="none"/>
          <w:u w:val="single"/>
        </w:rPr>
        <w:t xml:space="preserve">                              </w:t>
      </w:r>
      <w:r>
        <w:rPr>
          <w:rFonts w:hint="eastAsia" w:hAnsi="宋体" w:eastAsia="宋体" w:cs="宋体"/>
          <w:color w:val="auto"/>
          <w:kern w:val="0"/>
          <w:sz w:val="24"/>
          <w:szCs w:val="24"/>
          <w:highlight w:val="none"/>
        </w:rPr>
        <w:t>。</w:t>
      </w:r>
    </w:p>
    <w:p>
      <w:pPr>
        <w:pStyle w:val="99"/>
        <w:widowControl/>
        <w:numPr>
          <w:ilvl w:val="0"/>
          <w:numId w:val="20"/>
        </w:numPr>
        <w:snapToGrid w:val="0"/>
        <w:spacing w:after="0" w:line="40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99"/>
        <w:widowControl/>
        <w:numPr>
          <w:ilvl w:val="0"/>
          <w:numId w:val="20"/>
        </w:numPr>
        <w:snapToGrid w:val="0"/>
        <w:spacing w:after="0" w:line="40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项利害关系。</w:t>
      </w:r>
    </w:p>
    <w:p>
      <w:pPr>
        <w:pStyle w:val="105"/>
        <w:snapToGrid w:val="0"/>
        <w:spacing w:after="0" w:line="400" w:lineRule="exact"/>
        <w:ind w:firstLine="480" w:firstLineChars="200"/>
        <w:rPr>
          <w:rFonts w:hAnsi="宋体" w:eastAsia="宋体" w:cs="宋体"/>
          <w:color w:val="auto"/>
          <w:sz w:val="24"/>
          <w:szCs w:val="24"/>
          <w:highlight w:val="none"/>
        </w:rPr>
      </w:pPr>
    </w:p>
    <w:p>
      <w:pPr>
        <w:pStyle w:val="105"/>
        <w:snapToGrid w:val="0"/>
        <w:spacing w:after="0" w:line="60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 xml:space="preserve">                                      供应商授权代表签名：</w:t>
      </w:r>
    </w:p>
    <w:p>
      <w:pPr>
        <w:pStyle w:val="105"/>
        <w:snapToGrid w:val="0"/>
        <w:spacing w:after="0" w:line="600" w:lineRule="exact"/>
        <w:ind w:firstLine="480" w:firstLineChars="200"/>
        <w:jc w:val="right"/>
        <w:rPr>
          <w:rFonts w:hAnsi="宋体" w:eastAsia="宋体" w:cs="宋体"/>
          <w:color w:val="auto"/>
          <w:sz w:val="24"/>
          <w:szCs w:val="24"/>
          <w:highlight w:val="none"/>
        </w:rPr>
      </w:pPr>
      <w:r>
        <w:rPr>
          <w:rFonts w:hint="eastAsia" w:hAnsi="宋体" w:eastAsia="宋体" w:cs="宋体"/>
          <w:color w:val="auto"/>
          <w:sz w:val="24"/>
          <w:szCs w:val="24"/>
          <w:highlight w:val="none"/>
        </w:rPr>
        <w:t>2023年X月X日</w:t>
      </w:r>
    </w:p>
    <w:p>
      <w:pPr>
        <w:pStyle w:val="18"/>
        <w:ind w:left="1470" w:right="-252"/>
        <w:rPr>
          <w:rFonts w:cs="宋体"/>
          <w:color w:val="auto"/>
          <w:sz w:val="22"/>
          <w:highlight w:val="none"/>
        </w:rPr>
      </w:pPr>
    </w:p>
    <w:p>
      <w:pPr>
        <w:rPr>
          <w:rFonts w:ascii="宋体" w:hAnsi="宋体" w:cs="宋体"/>
          <w:b/>
          <w:color w:val="auto"/>
          <w:sz w:val="22"/>
          <w:highlight w:val="none"/>
        </w:rPr>
      </w:pPr>
      <w:r>
        <w:rPr>
          <w:rFonts w:hint="eastAsia" w:ascii="宋体" w:hAnsi="宋体" w:cs="宋体"/>
          <w:b/>
          <w:bCs/>
          <w:color w:val="auto"/>
          <w:sz w:val="22"/>
          <w:highlight w:val="none"/>
        </w:rPr>
        <w:t>备注：供应商在响应文件解密后，通过电子邮件形式，向邮箱地址（2812799762@qq.com）发送《政府采购活动现场确认声明书》（上表）。</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widowControl/>
        <w:jc w:val="left"/>
        <w:rPr>
          <w:rFonts w:ascii="宋体" w:hAnsi="宋体" w:cs="宋体"/>
          <w:b/>
          <w:color w:val="auto"/>
          <w:sz w:val="30"/>
          <w:szCs w:val="30"/>
          <w:highlight w:val="none"/>
        </w:rPr>
      </w:pPr>
      <w:r>
        <w:rPr>
          <w:rFonts w:hint="eastAsia" w:ascii="宋体" w:hAnsi="宋体" w:cs="宋体"/>
          <w:b/>
          <w:color w:val="auto"/>
          <w:sz w:val="24"/>
          <w:szCs w:val="24"/>
          <w:highlight w:val="none"/>
        </w:rPr>
        <w:t>附件12</w:t>
      </w:r>
    </w:p>
    <w:p>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项目负责人情况表</w:t>
      </w:r>
    </w:p>
    <w:p>
      <w:pPr>
        <w:rPr>
          <w:rFonts w:ascii="宋体" w:hAnsi="宋体" w:cs="宋体"/>
          <w:b/>
          <w:bCs/>
          <w:color w:val="auto"/>
          <w:sz w:val="24"/>
          <w:szCs w:val="24"/>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2463" w:type="dxa"/>
            <w:noWrap/>
            <w:vAlign w:val="center"/>
          </w:tcPr>
          <w:p>
            <w:pPr>
              <w:jc w:val="center"/>
              <w:rPr>
                <w:rFonts w:ascii="宋体" w:hAnsi="宋体" w:cs="宋体"/>
                <w:color w:val="auto"/>
                <w:sz w:val="24"/>
                <w:szCs w:val="24"/>
                <w:highlight w:val="none"/>
              </w:rPr>
            </w:pPr>
          </w:p>
        </w:tc>
        <w:tc>
          <w:tcPr>
            <w:tcW w:w="2464"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461" w:type="dxa"/>
            <w:noWrap/>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463" w:type="dxa"/>
            <w:noWrap/>
            <w:vAlign w:val="center"/>
          </w:tcPr>
          <w:p>
            <w:pPr>
              <w:jc w:val="center"/>
              <w:rPr>
                <w:rFonts w:ascii="宋体" w:hAnsi="宋体" w:cs="宋体"/>
                <w:color w:val="auto"/>
                <w:sz w:val="24"/>
                <w:szCs w:val="24"/>
                <w:highlight w:val="none"/>
              </w:rPr>
            </w:pPr>
          </w:p>
        </w:tc>
        <w:tc>
          <w:tcPr>
            <w:tcW w:w="2464"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1461" w:type="dxa"/>
            <w:noWrap/>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资格证书</w:t>
            </w:r>
          </w:p>
        </w:tc>
        <w:tc>
          <w:tcPr>
            <w:tcW w:w="6388" w:type="dxa"/>
            <w:gridSpan w:val="3"/>
            <w:noWrap/>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现任职务</w:t>
            </w:r>
          </w:p>
        </w:tc>
        <w:tc>
          <w:tcPr>
            <w:tcW w:w="6388" w:type="dxa"/>
            <w:gridSpan w:val="3"/>
            <w:noWrap/>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2463" w:type="dxa"/>
            <w:noWrap/>
            <w:vAlign w:val="center"/>
          </w:tcPr>
          <w:p>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近年来主要</w:t>
            </w:r>
          </w:p>
          <w:p>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工作业绩</w:t>
            </w:r>
          </w:p>
        </w:tc>
        <w:tc>
          <w:tcPr>
            <w:tcW w:w="6388" w:type="dxa"/>
            <w:gridSpan w:val="3"/>
            <w:noWrap/>
            <w:vAlign w:val="center"/>
          </w:tcPr>
          <w:p>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注：业绩证明应提供旁证材料</w:t>
            </w:r>
          </w:p>
          <w:p>
            <w:pP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（合同或中标通知书或业主证明等，证明材料中须包含拟派类似人员信息、项目参与身份等）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6388" w:type="dxa"/>
            <w:gridSpan w:val="3"/>
            <w:noWrap/>
            <w:vAlign w:val="center"/>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noWrap/>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388" w:type="dxa"/>
            <w:gridSpan w:val="3"/>
            <w:noWrap/>
            <w:vAlign w:val="center"/>
          </w:tcPr>
          <w:p>
            <w:pPr>
              <w:jc w:val="center"/>
              <w:rPr>
                <w:rFonts w:ascii="宋体" w:hAnsi="宋体" w:cs="宋体"/>
                <w:color w:val="auto"/>
                <w:sz w:val="24"/>
                <w:szCs w:val="24"/>
                <w:highlight w:val="none"/>
              </w:rPr>
            </w:pPr>
          </w:p>
        </w:tc>
      </w:tr>
    </w:tbl>
    <w:p>
      <w:pPr>
        <w:spacing w:line="360" w:lineRule="exact"/>
        <w:rPr>
          <w:rFonts w:ascii="宋体" w:hAnsi="宋体" w:cs="宋体"/>
          <w:color w:val="auto"/>
          <w:sz w:val="22"/>
          <w:highlight w:val="none"/>
        </w:rPr>
      </w:pPr>
      <w:r>
        <w:rPr>
          <w:rFonts w:hint="eastAsia" w:ascii="宋体" w:hAnsi="宋体" w:cs="宋体"/>
          <w:color w:val="auto"/>
          <w:sz w:val="24"/>
          <w:szCs w:val="24"/>
          <w:highlight w:val="none"/>
        </w:rPr>
        <w:t>注：</w:t>
      </w:r>
      <w:r>
        <w:rPr>
          <w:rFonts w:hint="eastAsia" w:ascii="宋体" w:hAnsi="宋体" w:cs="宋体"/>
          <w:color w:val="auto"/>
          <w:sz w:val="22"/>
          <w:highlight w:val="none"/>
        </w:rPr>
        <w:t>1、本表应附项目负责人相关证明材料。</w:t>
      </w:r>
    </w:p>
    <w:p>
      <w:pPr>
        <w:numPr>
          <w:ilvl w:val="0"/>
          <w:numId w:val="21"/>
        </w:numPr>
        <w:spacing w:line="360" w:lineRule="exact"/>
        <w:ind w:firstLine="440"/>
        <w:rPr>
          <w:rFonts w:ascii="宋体" w:hAnsi="宋体" w:cs="宋体"/>
          <w:color w:val="auto"/>
          <w:kern w:val="0"/>
          <w:sz w:val="22"/>
          <w:highlight w:val="none"/>
        </w:rPr>
      </w:pPr>
      <w:bookmarkStart w:id="40" w:name="_Toc301515381"/>
      <w:bookmarkStart w:id="41" w:name="_Toc513731633"/>
      <w:r>
        <w:rPr>
          <w:rFonts w:hint="eastAsia" w:ascii="宋体" w:hAnsi="宋体" w:cs="宋体"/>
          <w:color w:val="auto"/>
          <w:sz w:val="22"/>
          <w:highlight w:val="none"/>
        </w:rPr>
        <w:t>项目负责人在服务期内不得更换，如遇特殊情况更换项目负责人的需经采购人同意。</w:t>
      </w:r>
    </w:p>
    <w:p>
      <w:pPr>
        <w:spacing w:after="0" w:line="360" w:lineRule="auto"/>
        <w:jc w:val="left"/>
        <w:rPr>
          <w:rFonts w:ascii="宋体" w:hAnsi="宋体" w:cs="宋体"/>
          <w:color w:val="auto"/>
          <w:sz w:val="22"/>
          <w:szCs w:val="22"/>
          <w:highlight w:val="none"/>
        </w:rPr>
      </w:pP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法定代表人或其授权代表(签字或盖章)：</w:t>
      </w: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bookmarkEnd w:id="40"/>
      <w:bookmarkEnd w:id="41"/>
    </w:p>
    <w:p>
      <w:pPr>
        <w:spacing w:line="400" w:lineRule="exact"/>
        <w:rPr>
          <w:rFonts w:ascii="宋体" w:hAnsi="宋体" w:cs="宋体"/>
          <w:b/>
          <w:color w:val="auto"/>
          <w:sz w:val="30"/>
          <w:szCs w:val="30"/>
          <w:highlight w:val="none"/>
        </w:rPr>
      </w:pPr>
      <w:r>
        <w:rPr>
          <w:rFonts w:hint="eastAsia" w:ascii="宋体" w:hAnsi="宋体" w:cs="宋体"/>
          <w:b/>
          <w:color w:val="auto"/>
          <w:sz w:val="24"/>
          <w:szCs w:val="24"/>
          <w:highlight w:val="none"/>
        </w:rPr>
        <w:t>附件13</w:t>
      </w:r>
    </w:p>
    <w:p>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其他项目团队人员汇总表</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2"/>
        <w:gridCol w:w="2132"/>
        <w:gridCol w:w="3044"/>
        <w:gridCol w:w="17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姓名</w:t>
            </w:r>
          </w:p>
        </w:tc>
        <w:tc>
          <w:tcPr>
            <w:tcW w:w="2132" w:type="dxa"/>
            <w:noWrap/>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岗位</w:t>
            </w:r>
          </w:p>
        </w:tc>
        <w:tc>
          <w:tcPr>
            <w:tcW w:w="3044" w:type="dxa"/>
            <w:noWrap/>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相关证书</w:t>
            </w:r>
          </w:p>
        </w:tc>
        <w:tc>
          <w:tcPr>
            <w:tcW w:w="1712" w:type="dxa"/>
            <w:noWrap/>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pStyle w:val="6"/>
              <w:rPr>
                <w:rFonts w:ascii="宋体" w:hAnsi="宋体" w:cs="宋体"/>
                <w:color w:val="auto"/>
                <w:highlight w:val="none"/>
              </w:rPr>
            </w:pPr>
          </w:p>
        </w:tc>
        <w:tc>
          <w:tcPr>
            <w:tcW w:w="3044" w:type="dxa"/>
            <w:noWrap/>
          </w:tcPr>
          <w:p>
            <w:pPr>
              <w:rPr>
                <w:rFonts w:ascii="宋体" w:hAnsi="宋体" w:cs="宋体"/>
                <w:color w:val="auto"/>
                <w:sz w:val="18"/>
                <w:szCs w:val="18"/>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rPr>
                <w:rFonts w:ascii="宋体" w:hAnsi="宋体" w:cs="宋体"/>
                <w:color w:val="auto"/>
                <w:sz w:val="18"/>
                <w:szCs w:val="18"/>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132" w:type="dxa"/>
            <w:noWrap/>
          </w:tcPr>
          <w:p>
            <w:pPr>
              <w:snapToGrid w:val="0"/>
              <w:spacing w:line="400" w:lineRule="exact"/>
              <w:rPr>
                <w:rFonts w:ascii="宋体" w:hAnsi="宋体" w:cs="宋体"/>
                <w:color w:val="auto"/>
                <w:sz w:val="22"/>
                <w:highlight w:val="none"/>
              </w:rPr>
            </w:pPr>
          </w:p>
        </w:tc>
        <w:tc>
          <w:tcPr>
            <w:tcW w:w="2132" w:type="dxa"/>
            <w:noWrap/>
          </w:tcPr>
          <w:p>
            <w:pPr>
              <w:snapToGrid w:val="0"/>
              <w:spacing w:line="400" w:lineRule="exact"/>
              <w:rPr>
                <w:rFonts w:ascii="宋体" w:hAnsi="宋体" w:cs="宋体"/>
                <w:color w:val="auto"/>
                <w:sz w:val="22"/>
                <w:highlight w:val="none"/>
              </w:rPr>
            </w:pPr>
          </w:p>
        </w:tc>
        <w:tc>
          <w:tcPr>
            <w:tcW w:w="3044" w:type="dxa"/>
            <w:noWrap/>
          </w:tcPr>
          <w:p>
            <w:pPr>
              <w:snapToGrid w:val="0"/>
              <w:spacing w:line="400" w:lineRule="exact"/>
              <w:rPr>
                <w:rFonts w:ascii="宋体" w:hAnsi="宋体" w:cs="宋体"/>
                <w:color w:val="auto"/>
                <w:sz w:val="22"/>
                <w:highlight w:val="none"/>
              </w:rPr>
            </w:pPr>
          </w:p>
        </w:tc>
        <w:tc>
          <w:tcPr>
            <w:tcW w:w="1712" w:type="dxa"/>
            <w:noWrap/>
          </w:tcPr>
          <w:p>
            <w:pPr>
              <w:snapToGrid w:val="0"/>
              <w:spacing w:line="400" w:lineRule="exact"/>
              <w:rPr>
                <w:rFonts w:ascii="宋体" w:hAnsi="宋体" w:cs="宋体"/>
                <w:color w:val="auto"/>
                <w:sz w:val="22"/>
                <w:highlight w:val="none"/>
              </w:rPr>
            </w:pPr>
          </w:p>
        </w:tc>
      </w:tr>
    </w:tbl>
    <w:p>
      <w:pPr>
        <w:pStyle w:val="26"/>
        <w:tabs>
          <w:tab w:val="right" w:leader="dot" w:pos="9660"/>
          <w:tab w:val="clear" w:pos="8302"/>
        </w:tabs>
        <w:spacing w:before="156" w:beforeLines="50"/>
        <w:ind w:left="883" w:hanging="883" w:hangingChars="400"/>
        <w:jc w:val="both"/>
        <w:rPr>
          <w:rFonts w:cs="宋体"/>
          <w:b w:val="0"/>
          <w:color w:val="auto"/>
          <w:sz w:val="22"/>
          <w:szCs w:val="22"/>
          <w:highlight w:val="none"/>
        </w:rPr>
      </w:pPr>
      <w:r>
        <w:rPr>
          <w:rFonts w:hint="eastAsia" w:cs="宋体"/>
          <w:color w:val="auto"/>
          <w:sz w:val="22"/>
          <w:szCs w:val="22"/>
          <w:highlight w:val="none"/>
        </w:rPr>
        <w:t>注：</w:t>
      </w:r>
      <w:r>
        <w:rPr>
          <w:rFonts w:hint="eastAsia" w:cs="宋体"/>
          <w:b w:val="0"/>
          <w:color w:val="auto"/>
          <w:sz w:val="22"/>
          <w:szCs w:val="22"/>
          <w:highlight w:val="none"/>
        </w:rPr>
        <w:t>1、此表仅提供了表格形式，供应商可按此表格填写。</w:t>
      </w:r>
    </w:p>
    <w:p>
      <w:pPr>
        <w:numPr>
          <w:ilvl w:val="0"/>
          <w:numId w:val="22"/>
        </w:numPr>
        <w:ind w:firstLine="440" w:firstLineChars="200"/>
        <w:rPr>
          <w:rFonts w:ascii="宋体" w:hAnsi="宋体" w:cs="宋体"/>
          <w:color w:val="auto"/>
          <w:sz w:val="22"/>
          <w:highlight w:val="none"/>
        </w:rPr>
      </w:pPr>
      <w:r>
        <w:rPr>
          <w:rFonts w:hint="eastAsia" w:ascii="宋体" w:hAnsi="宋体" w:cs="宋体"/>
          <w:color w:val="auto"/>
          <w:sz w:val="22"/>
          <w:highlight w:val="none"/>
        </w:rPr>
        <w:t>以上岗位人员均需提供相关证书（如有）材料原件扫描件加盖公章。</w:t>
      </w:r>
    </w:p>
    <w:p>
      <w:pPr>
        <w:numPr>
          <w:ilvl w:val="0"/>
          <w:numId w:val="22"/>
        </w:numPr>
        <w:ind w:firstLine="440" w:firstLineChars="200"/>
        <w:rPr>
          <w:rFonts w:ascii="宋体" w:hAnsi="宋体" w:cs="宋体"/>
          <w:color w:val="auto"/>
          <w:kern w:val="0"/>
          <w:sz w:val="22"/>
          <w:highlight w:val="none"/>
        </w:rPr>
      </w:pPr>
      <w:r>
        <w:rPr>
          <w:rFonts w:hint="eastAsia" w:ascii="宋体" w:hAnsi="宋体" w:cs="宋体"/>
          <w:color w:val="auto"/>
          <w:sz w:val="22"/>
          <w:highlight w:val="none"/>
        </w:rPr>
        <w:t>以上人员在服务期内不得更换，如遇特殊情况更换项目以上人员的需经采购人同意。</w:t>
      </w: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磋商响应供应商(CA电子公章)：</w:t>
      </w: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法定代表人或其授权代表(签字或盖章)：</w:t>
      </w:r>
    </w:p>
    <w:p>
      <w:pPr>
        <w:spacing w:after="0"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日期：</w:t>
      </w:r>
    </w:p>
    <w:p>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rPr>
          <w:rFonts w:hAnsi="宋体" w:cs="宋体"/>
          <w:b/>
          <w:color w:val="auto"/>
          <w:sz w:val="30"/>
          <w:szCs w:val="30"/>
          <w:highlight w:val="none"/>
        </w:rPr>
      </w:pPr>
      <w:r>
        <w:rPr>
          <w:rFonts w:hint="eastAsia" w:ascii="宋体" w:hAnsi="宋体" w:cs="宋体"/>
          <w:b/>
          <w:color w:val="auto"/>
          <w:sz w:val="24"/>
          <w:highlight w:val="none"/>
        </w:rPr>
        <w:t>附件14</w:t>
      </w:r>
    </w:p>
    <w:p>
      <w:pPr>
        <w:pStyle w:val="8"/>
        <w:snapToGrid w:val="0"/>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承诺书</w:t>
      </w:r>
    </w:p>
    <w:p>
      <w:pPr>
        <w:pStyle w:val="8"/>
        <w:snapToGrid w:val="0"/>
        <w:spacing w:line="400" w:lineRule="exact"/>
        <w:jc w:val="center"/>
        <w:rPr>
          <w:rFonts w:hAnsi="宋体" w:cs="宋体"/>
          <w:b/>
          <w:color w:val="auto"/>
          <w:szCs w:val="24"/>
          <w:highlight w:val="none"/>
        </w:rPr>
      </w:pPr>
    </w:p>
    <w:p>
      <w:pPr>
        <w:spacing w:line="500" w:lineRule="exact"/>
        <w:rPr>
          <w:rFonts w:ascii="宋体" w:hAnsi="宋体" w:cs="宋体"/>
          <w:color w:val="auto"/>
          <w:sz w:val="24"/>
          <w:highlight w:val="none"/>
        </w:rPr>
      </w:pPr>
      <w:r>
        <w:rPr>
          <w:rFonts w:hint="eastAsia" w:ascii="宋体" w:hAnsi="宋体" w:cs="宋体"/>
          <w:color w:val="auto"/>
          <w:sz w:val="24"/>
          <w:highlight w:val="none"/>
          <w:u w:val="single"/>
        </w:rPr>
        <w:t>温州大学（采购人名称）</w:t>
      </w:r>
      <w:r>
        <w:rPr>
          <w:rFonts w:hint="eastAsia" w:ascii="宋体" w:hAnsi="宋体" w:cs="宋体"/>
          <w:color w:val="auto"/>
          <w:sz w:val="24"/>
          <w:highlight w:val="none"/>
        </w:rPr>
        <w:t>：</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我单位就</w:t>
      </w:r>
      <w:r>
        <w:rPr>
          <w:rFonts w:hint="eastAsia" w:ascii="宋体" w:hAnsi="宋体" w:cs="宋体"/>
          <w:color w:val="auto"/>
          <w:sz w:val="24"/>
          <w:highlight w:val="none"/>
          <w:u w:val="single"/>
        </w:rPr>
        <w:t xml:space="preserve">                   （项目名称）（项目编号：           ）</w:t>
      </w:r>
      <w:r>
        <w:rPr>
          <w:rFonts w:hint="eastAsia" w:ascii="宋体" w:hAnsi="宋体" w:cs="宋体"/>
          <w:color w:val="auto"/>
          <w:sz w:val="24"/>
          <w:highlight w:val="none"/>
        </w:rPr>
        <w:t>项目承诺如下：</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质保期在磋商文件要求的基础上增加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p>
      <w:pPr>
        <w:spacing w:line="5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我公司针对本项目使用的相应产品材料（设备）涉及到节能环保的，按照政府采购和国家要求使用节能环保产品材料（设备），符合政府采购和国家节能环保要求。</w:t>
      </w:r>
    </w:p>
    <w:p>
      <w:pPr>
        <w:spacing w:line="500" w:lineRule="exact"/>
        <w:ind w:firstLine="480" w:firstLineChars="200"/>
        <w:rPr>
          <w:color w:val="auto"/>
          <w:highlight w:val="none"/>
        </w:rPr>
      </w:pPr>
      <w:r>
        <w:rPr>
          <w:rFonts w:hint="eastAsia" w:ascii="宋体" w:hAnsi="宋体" w:cs="宋体"/>
          <w:color w:val="auto"/>
          <w:sz w:val="24"/>
          <w:highlight w:val="none"/>
          <w:u w:val="single"/>
        </w:rPr>
        <w:t xml:space="preserve">                   </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若不能落实到位，我单位无条件接受采购人的任何处理决定，我单位对此无任何异议。</w:t>
      </w:r>
    </w:p>
    <w:p>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特此承诺！</w:t>
      </w:r>
    </w:p>
    <w:p>
      <w:pPr>
        <w:pStyle w:val="6"/>
        <w:jc w:val="left"/>
        <w:rPr>
          <w:rFonts w:ascii="宋体" w:hAnsi="宋体" w:cs="宋体"/>
          <w:b w:val="0"/>
          <w:bCs w:val="0"/>
          <w:color w:val="auto"/>
          <w:sz w:val="24"/>
          <w:highlight w:val="none"/>
        </w:rPr>
      </w:pPr>
    </w:p>
    <w:p>
      <w:pPr>
        <w:pStyle w:val="6"/>
        <w:jc w:val="left"/>
        <w:rPr>
          <w:rFonts w:ascii="宋体" w:hAnsi="宋体" w:cs="宋体"/>
          <w:b w:val="0"/>
          <w:bCs w:val="0"/>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磋商响应供应商(CA电子公章)：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法定代表人或其授权代表(签字或盖章)：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日期：</w:t>
      </w:r>
    </w:p>
    <w:p>
      <w:pPr>
        <w:pStyle w:val="44"/>
        <w:ind w:firstLine="0"/>
        <w:rPr>
          <w:color w:val="auto"/>
          <w:highlight w:val="none"/>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 w:val="24"/>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243205"/>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57785" cy="243205"/>
                      </a:xfrm>
                      <a:prstGeom prst="rect">
                        <a:avLst/>
                      </a:prstGeom>
                      <a:noFill/>
                      <a:ln>
                        <a:noFill/>
                      </a:ln>
                    </wps:spPr>
                    <wps:txbx>
                      <w:txbxContent>
                        <w:p>
                          <w:pPr>
                            <w:pStyle w:val="23"/>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9.15pt;width:4.55pt;mso-position-horizontal:center;mso-position-horizontal-relative:margin;mso-wrap-style:none;z-index:251661312;mso-width-relative:page;mso-height-relative:page;" filled="f" stroked="f" coordsize="21600,21600" o:gfxdata="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dO0r9AAAAACAQAADwAAAAAAAAABACAAAAAiAAAAZHJzL2Rv&#10;d25yZXYueG1sUEsBAhQAFAAAAAgAh07iQBnvxOTQAQAAmQMAAA4AAAAAAAAAAQAgAAAAHwEAAGRy&#10;cy9lMm9Eb2MueG1sUEsFBgAAAAAGAAYAWQEAAGE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2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single" w:color="auto" w:sz="4" w:space="1"/>
        <w:right w:val="none" w:color="auto" w:sz="0" w:space="0"/>
      </w:pBdr>
      <w:jc w:val="left"/>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47A02"/>
    <w:multiLevelType w:val="singleLevel"/>
    <w:tmpl w:val="8AB47A02"/>
    <w:lvl w:ilvl="0" w:tentative="0">
      <w:start w:val="4"/>
      <w:numFmt w:val="chineseCounting"/>
      <w:suff w:val="space"/>
      <w:lvlText w:val="第%1部分"/>
      <w:lvlJc w:val="left"/>
      <w:rPr>
        <w:rFonts w:hint="eastAsia" w:cs="Times New Roman"/>
      </w:rPr>
    </w:lvl>
  </w:abstractNum>
  <w:abstractNum w:abstractNumId="1">
    <w:nsid w:val="8D2FEE2C"/>
    <w:multiLevelType w:val="singleLevel"/>
    <w:tmpl w:val="8D2FEE2C"/>
    <w:lvl w:ilvl="0" w:tentative="0">
      <w:start w:val="1"/>
      <w:numFmt w:val="decimal"/>
      <w:suff w:val="nothing"/>
      <w:lvlText w:val="（%1）"/>
      <w:lvlJc w:val="left"/>
      <w:pPr>
        <w:tabs>
          <w:tab w:val="left" w:pos="0"/>
        </w:tabs>
        <w:ind w:left="-20"/>
      </w:pPr>
      <w:rPr>
        <w:rFonts w:hint="default" w:cs="Times New Roman"/>
      </w:rPr>
    </w:lvl>
  </w:abstractNum>
  <w:abstractNum w:abstractNumId="2">
    <w:nsid w:val="8D43E69F"/>
    <w:multiLevelType w:val="singleLevel"/>
    <w:tmpl w:val="8D43E69F"/>
    <w:lvl w:ilvl="0" w:tentative="0">
      <w:start w:val="1"/>
      <w:numFmt w:val="decimal"/>
      <w:lvlText w:val="(%1)"/>
      <w:lvlJc w:val="left"/>
      <w:pPr>
        <w:ind w:left="425" w:hanging="425"/>
      </w:pPr>
      <w:rPr>
        <w:rFonts w:hint="default"/>
      </w:rPr>
    </w:lvl>
  </w:abstractNum>
  <w:abstractNum w:abstractNumId="3">
    <w:nsid w:val="93F919AF"/>
    <w:multiLevelType w:val="singleLevel"/>
    <w:tmpl w:val="93F919AF"/>
    <w:lvl w:ilvl="0" w:tentative="0">
      <w:start w:val="2"/>
      <w:numFmt w:val="decimal"/>
      <w:suff w:val="nothing"/>
      <w:lvlText w:val="%1、"/>
      <w:lvlJc w:val="left"/>
    </w:lvl>
  </w:abstractNum>
  <w:abstractNum w:abstractNumId="4">
    <w:nsid w:val="9669D99B"/>
    <w:multiLevelType w:val="singleLevel"/>
    <w:tmpl w:val="9669D99B"/>
    <w:lvl w:ilvl="0" w:tentative="0">
      <w:start w:val="1"/>
      <w:numFmt w:val="decimal"/>
      <w:suff w:val="nothing"/>
      <w:lvlText w:val="%1．"/>
      <w:lvlJc w:val="left"/>
      <w:pPr>
        <w:ind w:left="0" w:firstLine="400"/>
      </w:pPr>
      <w:rPr>
        <w:rFonts w:hint="default"/>
      </w:rPr>
    </w:lvl>
  </w:abstractNum>
  <w:abstractNum w:abstractNumId="5">
    <w:nsid w:val="A036212E"/>
    <w:multiLevelType w:val="singleLevel"/>
    <w:tmpl w:val="A036212E"/>
    <w:lvl w:ilvl="0" w:tentative="0">
      <w:start w:val="1"/>
      <w:numFmt w:val="decimalEnclosedCircleChinese"/>
      <w:suff w:val="nothing"/>
      <w:lvlText w:val="%1　"/>
      <w:lvlJc w:val="left"/>
      <w:pPr>
        <w:ind w:left="0" w:firstLine="400"/>
      </w:pPr>
      <w:rPr>
        <w:rFonts w:hint="eastAsia"/>
      </w:rPr>
    </w:lvl>
  </w:abstractNum>
  <w:abstractNum w:abstractNumId="6">
    <w:nsid w:val="C8B16661"/>
    <w:multiLevelType w:val="singleLevel"/>
    <w:tmpl w:val="C8B16661"/>
    <w:lvl w:ilvl="0" w:tentative="0">
      <w:start w:val="1"/>
      <w:numFmt w:val="chineseCounting"/>
      <w:suff w:val="nothing"/>
      <w:lvlText w:val="%1、"/>
      <w:lvlJc w:val="left"/>
      <w:rPr>
        <w:rFonts w:hint="eastAsia" w:cs="Times New Roman"/>
      </w:rPr>
    </w:lvl>
  </w:abstractNum>
  <w:abstractNum w:abstractNumId="7">
    <w:nsid w:val="CBAD70D1"/>
    <w:multiLevelType w:val="singleLevel"/>
    <w:tmpl w:val="CBAD70D1"/>
    <w:lvl w:ilvl="0" w:tentative="0">
      <w:start w:val="1"/>
      <w:numFmt w:val="decimal"/>
      <w:suff w:val="nothing"/>
      <w:lvlText w:val="%1．"/>
      <w:lvlJc w:val="left"/>
      <w:pPr>
        <w:ind w:left="0" w:firstLine="400"/>
      </w:pPr>
      <w:rPr>
        <w:rFonts w:hint="default"/>
      </w:rPr>
    </w:lvl>
  </w:abstractNum>
  <w:abstractNum w:abstractNumId="8">
    <w:nsid w:val="F044B015"/>
    <w:multiLevelType w:val="singleLevel"/>
    <w:tmpl w:val="F044B015"/>
    <w:lvl w:ilvl="0" w:tentative="0">
      <w:start w:val="1"/>
      <w:numFmt w:val="decimal"/>
      <w:suff w:val="nothing"/>
      <w:lvlText w:val="（%1）"/>
      <w:lvlJc w:val="left"/>
      <w:pPr>
        <w:tabs>
          <w:tab w:val="left" w:pos="0"/>
        </w:tabs>
      </w:pPr>
      <w:rPr>
        <w:rFonts w:hint="default" w:cs="Times New Roman"/>
      </w:rPr>
    </w:lvl>
  </w:abstractNum>
  <w:abstractNum w:abstractNumId="9">
    <w:nsid w:val="05964D4D"/>
    <w:multiLevelType w:val="singleLevel"/>
    <w:tmpl w:val="05964D4D"/>
    <w:lvl w:ilvl="0" w:tentative="0">
      <w:start w:val="1"/>
      <w:numFmt w:val="decimal"/>
      <w:lvlText w:val="(%1)"/>
      <w:lvlJc w:val="left"/>
      <w:pPr>
        <w:ind w:left="425" w:hanging="425"/>
      </w:pPr>
      <w:rPr>
        <w:rFonts w:hint="default"/>
      </w:rPr>
    </w:lvl>
  </w:abstractNum>
  <w:abstractNum w:abstractNumId="10">
    <w:nsid w:val="06BDC675"/>
    <w:multiLevelType w:val="singleLevel"/>
    <w:tmpl w:val="06BDC675"/>
    <w:lvl w:ilvl="0" w:tentative="0">
      <w:start w:val="1"/>
      <w:numFmt w:val="chineseCounting"/>
      <w:suff w:val="space"/>
      <w:lvlText w:val="第%1部分"/>
      <w:lvlJc w:val="left"/>
      <w:rPr>
        <w:rFonts w:hint="eastAsia"/>
      </w:rPr>
    </w:lvl>
  </w:abstractNum>
  <w:abstractNum w:abstractNumId="11">
    <w:nsid w:val="1162C009"/>
    <w:multiLevelType w:val="singleLevel"/>
    <w:tmpl w:val="1162C009"/>
    <w:lvl w:ilvl="0" w:tentative="0">
      <w:start w:val="1"/>
      <w:numFmt w:val="decimal"/>
      <w:suff w:val="nothing"/>
      <w:lvlText w:val="（%1）"/>
      <w:lvlJc w:val="left"/>
      <w:pPr>
        <w:tabs>
          <w:tab w:val="left" w:pos="0"/>
        </w:tabs>
      </w:pPr>
      <w:rPr>
        <w:rFonts w:hint="default" w:cs="Times New Roman"/>
      </w:rPr>
    </w:lvl>
  </w:abstractNum>
  <w:abstractNum w:abstractNumId="12">
    <w:nsid w:val="17580627"/>
    <w:multiLevelType w:val="singleLevel"/>
    <w:tmpl w:val="17580627"/>
    <w:lvl w:ilvl="0" w:tentative="0">
      <w:start w:val="15"/>
      <w:numFmt w:val="decimal"/>
      <w:suff w:val="nothing"/>
      <w:lvlText w:val="%1．"/>
      <w:lvlJc w:val="left"/>
    </w:lvl>
  </w:abstractNum>
  <w:abstractNum w:abstractNumId="13">
    <w:nsid w:val="2EEE2882"/>
    <w:multiLevelType w:val="singleLevel"/>
    <w:tmpl w:val="2EEE2882"/>
    <w:lvl w:ilvl="0" w:tentative="0">
      <w:start w:val="4"/>
      <w:numFmt w:val="chineseCounting"/>
      <w:suff w:val="nothing"/>
      <w:lvlText w:val="%1、"/>
      <w:lvlJc w:val="left"/>
      <w:rPr>
        <w:rFonts w:hint="eastAsia"/>
      </w:rPr>
    </w:lvl>
  </w:abstractNum>
  <w:abstractNum w:abstractNumId="14">
    <w:nsid w:val="4B0BB95E"/>
    <w:multiLevelType w:val="singleLevel"/>
    <w:tmpl w:val="4B0BB95E"/>
    <w:lvl w:ilvl="0" w:tentative="0">
      <w:start w:val="1"/>
      <w:numFmt w:val="decimal"/>
      <w:lvlText w:val="(%1)"/>
      <w:lvlJc w:val="left"/>
      <w:pPr>
        <w:ind w:left="425" w:hanging="425"/>
      </w:pPr>
      <w:rPr>
        <w:rFonts w:hint="default"/>
      </w:rPr>
    </w:lvl>
  </w:abstractNum>
  <w:abstractNum w:abstractNumId="15">
    <w:nsid w:val="4C59000B"/>
    <w:multiLevelType w:val="singleLevel"/>
    <w:tmpl w:val="4C59000B"/>
    <w:lvl w:ilvl="0" w:tentative="0">
      <w:start w:val="1"/>
      <w:numFmt w:val="decimal"/>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rPr>
        <w:rFonts w:cs="Times New Roman"/>
      </w:rPr>
    </w:lvl>
  </w:abstractNum>
  <w:abstractNum w:abstractNumId="17">
    <w:nsid w:val="5A6E71BE"/>
    <w:multiLevelType w:val="multilevel"/>
    <w:tmpl w:val="5A6E71BE"/>
    <w:lvl w:ilvl="0" w:tentative="0">
      <w:start w:val="1"/>
      <w:numFmt w:val="decimal"/>
      <w:pStyle w:val="87"/>
      <w:lvlText w:val="%1）"/>
      <w:lvlJc w:val="left"/>
      <w:pPr>
        <w:ind w:left="644" w:hanging="36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18">
    <w:nsid w:val="686C1C10"/>
    <w:multiLevelType w:val="singleLevel"/>
    <w:tmpl w:val="686C1C10"/>
    <w:lvl w:ilvl="0" w:tentative="0">
      <w:start w:val="2"/>
      <w:numFmt w:val="decimal"/>
      <w:suff w:val="nothing"/>
      <w:lvlText w:val="%1、"/>
      <w:lvlJc w:val="left"/>
      <w:pPr>
        <w:ind w:left="-20"/>
      </w:pPr>
    </w:lvl>
  </w:abstractNum>
  <w:abstractNum w:abstractNumId="19">
    <w:nsid w:val="6F6A56FD"/>
    <w:multiLevelType w:val="singleLevel"/>
    <w:tmpl w:val="6F6A56FD"/>
    <w:lvl w:ilvl="0" w:tentative="0">
      <w:start w:val="1"/>
      <w:numFmt w:val="decimal"/>
      <w:lvlText w:val="(%1)"/>
      <w:lvlJc w:val="left"/>
      <w:pPr>
        <w:ind w:left="425" w:hanging="425"/>
      </w:pPr>
      <w:rPr>
        <w:rFonts w:hint="default"/>
      </w:rPr>
    </w:lvl>
  </w:abstractNum>
  <w:abstractNum w:abstractNumId="20">
    <w:nsid w:val="720790F8"/>
    <w:multiLevelType w:val="singleLevel"/>
    <w:tmpl w:val="720790F8"/>
    <w:lvl w:ilvl="0" w:tentative="0">
      <w:start w:val="1"/>
      <w:numFmt w:val="decimal"/>
      <w:lvlText w:val="%1."/>
      <w:lvlJc w:val="left"/>
      <w:pPr>
        <w:tabs>
          <w:tab w:val="left" w:pos="312"/>
        </w:tabs>
      </w:pPr>
    </w:lvl>
  </w:abstractNum>
  <w:abstractNum w:abstractNumId="21">
    <w:nsid w:val="7FB776EC"/>
    <w:multiLevelType w:val="singleLevel"/>
    <w:tmpl w:val="7FB776EC"/>
    <w:lvl w:ilvl="0" w:tentative="0">
      <w:start w:val="1"/>
      <w:numFmt w:val="decimal"/>
      <w:lvlText w:val="(%1)"/>
      <w:lvlJc w:val="left"/>
      <w:pPr>
        <w:ind w:left="425" w:hanging="425"/>
      </w:pPr>
      <w:rPr>
        <w:rFonts w:hint="default"/>
      </w:rPr>
    </w:lvl>
  </w:abstractNum>
  <w:num w:numId="1">
    <w:abstractNumId w:val="17"/>
  </w:num>
  <w:num w:numId="2">
    <w:abstractNumId w:val="10"/>
  </w:num>
  <w:num w:numId="3">
    <w:abstractNumId w:val="1"/>
  </w:num>
  <w:num w:numId="4">
    <w:abstractNumId w:val="8"/>
  </w:num>
  <w:num w:numId="5">
    <w:abstractNumId w:val="11"/>
  </w:num>
  <w:num w:numId="6">
    <w:abstractNumId w:val="12"/>
  </w:num>
  <w:num w:numId="7">
    <w:abstractNumId w:val="13"/>
  </w:num>
  <w:num w:numId="8">
    <w:abstractNumId w:val="2"/>
  </w:num>
  <w:num w:numId="9">
    <w:abstractNumId w:val="21"/>
  </w:num>
  <w:num w:numId="10">
    <w:abstractNumId w:val="5"/>
  </w:num>
  <w:num w:numId="11">
    <w:abstractNumId w:val="9"/>
  </w:num>
  <w:num w:numId="12">
    <w:abstractNumId w:val="14"/>
  </w:num>
  <w:num w:numId="13">
    <w:abstractNumId w:val="19"/>
  </w:num>
  <w:num w:numId="14">
    <w:abstractNumId w:val="4"/>
  </w:num>
  <w:num w:numId="15">
    <w:abstractNumId w:val="20"/>
  </w:num>
  <w:num w:numId="16">
    <w:abstractNumId w:val="0"/>
  </w:num>
  <w:num w:numId="17">
    <w:abstractNumId w:val="7"/>
  </w:num>
  <w:num w:numId="18">
    <w:abstractNumId w:val="15"/>
  </w:num>
  <w:num w:numId="19">
    <w:abstractNumId w:val="6"/>
  </w:num>
  <w:num w:numId="20">
    <w:abstractNumId w:val="16"/>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noLineBreaksAfter w:lang="zh-CN" w:val="([{·‘“〈《「『【〔〖（．［｛￡￥"/>
  <w:noLineBreaksBefore w:lang="zh-CN" w:val="!),.:;?]}¨·ˇˉ―‖’”…∶、。〃々〉》」』】〕〗！＂＇），．：；？］｀｜｝～￠"/>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YmI2ZmMyMzBkMzkxYWZiMWM1MzdkZmU4OGRhOGIifQ=="/>
  </w:docVars>
  <w:rsids>
    <w:rsidRoot w:val="003C1345"/>
    <w:rsid w:val="00000B7A"/>
    <w:rsid w:val="0000105F"/>
    <w:rsid w:val="0000343B"/>
    <w:rsid w:val="000036AA"/>
    <w:rsid w:val="000041CD"/>
    <w:rsid w:val="0000451E"/>
    <w:rsid w:val="000046B5"/>
    <w:rsid w:val="00005454"/>
    <w:rsid w:val="0000702A"/>
    <w:rsid w:val="00007422"/>
    <w:rsid w:val="00007DBC"/>
    <w:rsid w:val="00010589"/>
    <w:rsid w:val="00010C52"/>
    <w:rsid w:val="00010D44"/>
    <w:rsid w:val="000125FD"/>
    <w:rsid w:val="00013D47"/>
    <w:rsid w:val="0001444C"/>
    <w:rsid w:val="000178B1"/>
    <w:rsid w:val="00017B5D"/>
    <w:rsid w:val="00020ADD"/>
    <w:rsid w:val="00020BF3"/>
    <w:rsid w:val="00021AC3"/>
    <w:rsid w:val="00022257"/>
    <w:rsid w:val="00022FAB"/>
    <w:rsid w:val="00024024"/>
    <w:rsid w:val="00024217"/>
    <w:rsid w:val="00024D6F"/>
    <w:rsid w:val="00025C6B"/>
    <w:rsid w:val="000278B5"/>
    <w:rsid w:val="00027AF4"/>
    <w:rsid w:val="00030847"/>
    <w:rsid w:val="000312CD"/>
    <w:rsid w:val="0003344B"/>
    <w:rsid w:val="00033ED8"/>
    <w:rsid w:val="000370ED"/>
    <w:rsid w:val="0004079C"/>
    <w:rsid w:val="000426CD"/>
    <w:rsid w:val="000428D2"/>
    <w:rsid w:val="000430CF"/>
    <w:rsid w:val="000443DD"/>
    <w:rsid w:val="00044F7B"/>
    <w:rsid w:val="0004678A"/>
    <w:rsid w:val="00047C3B"/>
    <w:rsid w:val="00047D13"/>
    <w:rsid w:val="000508A9"/>
    <w:rsid w:val="000533E2"/>
    <w:rsid w:val="00054339"/>
    <w:rsid w:val="00057D26"/>
    <w:rsid w:val="00057E3E"/>
    <w:rsid w:val="00060001"/>
    <w:rsid w:val="000614A9"/>
    <w:rsid w:val="00061715"/>
    <w:rsid w:val="00064615"/>
    <w:rsid w:val="0006563C"/>
    <w:rsid w:val="00066688"/>
    <w:rsid w:val="00067815"/>
    <w:rsid w:val="00070255"/>
    <w:rsid w:val="00071EF5"/>
    <w:rsid w:val="000721D4"/>
    <w:rsid w:val="000726CE"/>
    <w:rsid w:val="0007373D"/>
    <w:rsid w:val="00074B97"/>
    <w:rsid w:val="000763DF"/>
    <w:rsid w:val="00076829"/>
    <w:rsid w:val="00076D33"/>
    <w:rsid w:val="00076F11"/>
    <w:rsid w:val="00077CB0"/>
    <w:rsid w:val="00081C3D"/>
    <w:rsid w:val="00082A46"/>
    <w:rsid w:val="00083B79"/>
    <w:rsid w:val="00085D77"/>
    <w:rsid w:val="0008612E"/>
    <w:rsid w:val="00086162"/>
    <w:rsid w:val="000866AF"/>
    <w:rsid w:val="000874DD"/>
    <w:rsid w:val="00087BFD"/>
    <w:rsid w:val="00090081"/>
    <w:rsid w:val="00091F21"/>
    <w:rsid w:val="00091F81"/>
    <w:rsid w:val="000927F4"/>
    <w:rsid w:val="000928EC"/>
    <w:rsid w:val="000941B4"/>
    <w:rsid w:val="000948A9"/>
    <w:rsid w:val="00094D5F"/>
    <w:rsid w:val="00095A26"/>
    <w:rsid w:val="00095D26"/>
    <w:rsid w:val="00095F8B"/>
    <w:rsid w:val="00096055"/>
    <w:rsid w:val="00096CC3"/>
    <w:rsid w:val="000A298E"/>
    <w:rsid w:val="000A36F4"/>
    <w:rsid w:val="000A467E"/>
    <w:rsid w:val="000A4E61"/>
    <w:rsid w:val="000A5353"/>
    <w:rsid w:val="000A593A"/>
    <w:rsid w:val="000A7FEE"/>
    <w:rsid w:val="000B0AFA"/>
    <w:rsid w:val="000B0E19"/>
    <w:rsid w:val="000B2236"/>
    <w:rsid w:val="000B2EE3"/>
    <w:rsid w:val="000B4B60"/>
    <w:rsid w:val="000B54F2"/>
    <w:rsid w:val="000B608A"/>
    <w:rsid w:val="000B6894"/>
    <w:rsid w:val="000B6E9F"/>
    <w:rsid w:val="000B7D8C"/>
    <w:rsid w:val="000C04F9"/>
    <w:rsid w:val="000C093D"/>
    <w:rsid w:val="000C140C"/>
    <w:rsid w:val="000C141C"/>
    <w:rsid w:val="000C1F0D"/>
    <w:rsid w:val="000C2ED3"/>
    <w:rsid w:val="000C37B9"/>
    <w:rsid w:val="000C506B"/>
    <w:rsid w:val="000C75DF"/>
    <w:rsid w:val="000C7EA5"/>
    <w:rsid w:val="000D0744"/>
    <w:rsid w:val="000D105A"/>
    <w:rsid w:val="000D28F7"/>
    <w:rsid w:val="000D304E"/>
    <w:rsid w:val="000D553B"/>
    <w:rsid w:val="000D5695"/>
    <w:rsid w:val="000D5759"/>
    <w:rsid w:val="000D5FF1"/>
    <w:rsid w:val="000D715F"/>
    <w:rsid w:val="000D7B48"/>
    <w:rsid w:val="000E1341"/>
    <w:rsid w:val="000E2076"/>
    <w:rsid w:val="000E2732"/>
    <w:rsid w:val="000E369F"/>
    <w:rsid w:val="000F1B4C"/>
    <w:rsid w:val="000F26DC"/>
    <w:rsid w:val="000F3666"/>
    <w:rsid w:val="000F6249"/>
    <w:rsid w:val="000F643C"/>
    <w:rsid w:val="000F6CF8"/>
    <w:rsid w:val="000F7BF8"/>
    <w:rsid w:val="000F7F51"/>
    <w:rsid w:val="00100286"/>
    <w:rsid w:val="001007F8"/>
    <w:rsid w:val="0010091B"/>
    <w:rsid w:val="00100CEA"/>
    <w:rsid w:val="001010F7"/>
    <w:rsid w:val="00102050"/>
    <w:rsid w:val="00102759"/>
    <w:rsid w:val="00105F62"/>
    <w:rsid w:val="001066AA"/>
    <w:rsid w:val="00106DCA"/>
    <w:rsid w:val="00112035"/>
    <w:rsid w:val="001123C7"/>
    <w:rsid w:val="00112852"/>
    <w:rsid w:val="001135C2"/>
    <w:rsid w:val="00114410"/>
    <w:rsid w:val="001144F1"/>
    <w:rsid w:val="00115BEF"/>
    <w:rsid w:val="001210A5"/>
    <w:rsid w:val="00122370"/>
    <w:rsid w:val="001226D8"/>
    <w:rsid w:val="0012318A"/>
    <w:rsid w:val="0012335D"/>
    <w:rsid w:val="001249FD"/>
    <w:rsid w:val="00125D9C"/>
    <w:rsid w:val="0012613C"/>
    <w:rsid w:val="001261D8"/>
    <w:rsid w:val="001270DD"/>
    <w:rsid w:val="00130CF2"/>
    <w:rsid w:val="00131B91"/>
    <w:rsid w:val="00131CAB"/>
    <w:rsid w:val="00134603"/>
    <w:rsid w:val="00134CDE"/>
    <w:rsid w:val="0013567A"/>
    <w:rsid w:val="00135B33"/>
    <w:rsid w:val="00135E8D"/>
    <w:rsid w:val="00140515"/>
    <w:rsid w:val="00140E8D"/>
    <w:rsid w:val="001424B6"/>
    <w:rsid w:val="001427B9"/>
    <w:rsid w:val="001437B2"/>
    <w:rsid w:val="0014506A"/>
    <w:rsid w:val="0014528A"/>
    <w:rsid w:val="001455DF"/>
    <w:rsid w:val="00150711"/>
    <w:rsid w:val="00150F3C"/>
    <w:rsid w:val="00154248"/>
    <w:rsid w:val="00154E9C"/>
    <w:rsid w:val="00155684"/>
    <w:rsid w:val="00155CE3"/>
    <w:rsid w:val="00155E3B"/>
    <w:rsid w:val="001569F2"/>
    <w:rsid w:val="00157C9D"/>
    <w:rsid w:val="00161EBF"/>
    <w:rsid w:val="00162E1B"/>
    <w:rsid w:val="00163C6C"/>
    <w:rsid w:val="00163DC0"/>
    <w:rsid w:val="00163F86"/>
    <w:rsid w:val="0016479A"/>
    <w:rsid w:val="00164B44"/>
    <w:rsid w:val="00164C6A"/>
    <w:rsid w:val="00165039"/>
    <w:rsid w:val="001667ED"/>
    <w:rsid w:val="00166EA2"/>
    <w:rsid w:val="00166F91"/>
    <w:rsid w:val="001703F0"/>
    <w:rsid w:val="001711F8"/>
    <w:rsid w:val="001714BF"/>
    <w:rsid w:val="00171F73"/>
    <w:rsid w:val="001729BD"/>
    <w:rsid w:val="00172F96"/>
    <w:rsid w:val="00173082"/>
    <w:rsid w:val="00173477"/>
    <w:rsid w:val="001742D5"/>
    <w:rsid w:val="00174E9C"/>
    <w:rsid w:val="00175D20"/>
    <w:rsid w:val="001765F4"/>
    <w:rsid w:val="00177B1D"/>
    <w:rsid w:val="00177D94"/>
    <w:rsid w:val="00180F23"/>
    <w:rsid w:val="00181414"/>
    <w:rsid w:val="00181D0A"/>
    <w:rsid w:val="001840A3"/>
    <w:rsid w:val="001849DF"/>
    <w:rsid w:val="001865FF"/>
    <w:rsid w:val="001903BD"/>
    <w:rsid w:val="001915AE"/>
    <w:rsid w:val="00191E5F"/>
    <w:rsid w:val="00193228"/>
    <w:rsid w:val="00193932"/>
    <w:rsid w:val="00194FFB"/>
    <w:rsid w:val="00195523"/>
    <w:rsid w:val="00195B5D"/>
    <w:rsid w:val="00195B6D"/>
    <w:rsid w:val="001960C9"/>
    <w:rsid w:val="00196279"/>
    <w:rsid w:val="001963AA"/>
    <w:rsid w:val="0019743A"/>
    <w:rsid w:val="001A1882"/>
    <w:rsid w:val="001A1B45"/>
    <w:rsid w:val="001A3744"/>
    <w:rsid w:val="001A3A9E"/>
    <w:rsid w:val="001A4A22"/>
    <w:rsid w:val="001A5692"/>
    <w:rsid w:val="001B067E"/>
    <w:rsid w:val="001B139D"/>
    <w:rsid w:val="001B2346"/>
    <w:rsid w:val="001B255A"/>
    <w:rsid w:val="001B2B09"/>
    <w:rsid w:val="001B3A51"/>
    <w:rsid w:val="001B3CF9"/>
    <w:rsid w:val="001B3F63"/>
    <w:rsid w:val="001B52AB"/>
    <w:rsid w:val="001B5B94"/>
    <w:rsid w:val="001C01ED"/>
    <w:rsid w:val="001C0947"/>
    <w:rsid w:val="001C0C9E"/>
    <w:rsid w:val="001C1578"/>
    <w:rsid w:val="001C16C1"/>
    <w:rsid w:val="001C1C1D"/>
    <w:rsid w:val="001C2A6F"/>
    <w:rsid w:val="001C5A40"/>
    <w:rsid w:val="001C6624"/>
    <w:rsid w:val="001C6F15"/>
    <w:rsid w:val="001C76C8"/>
    <w:rsid w:val="001D1654"/>
    <w:rsid w:val="001D24CD"/>
    <w:rsid w:val="001D267C"/>
    <w:rsid w:val="001D3115"/>
    <w:rsid w:val="001D4DF4"/>
    <w:rsid w:val="001D5144"/>
    <w:rsid w:val="001D57CB"/>
    <w:rsid w:val="001D6481"/>
    <w:rsid w:val="001D687D"/>
    <w:rsid w:val="001D6AD6"/>
    <w:rsid w:val="001D6D14"/>
    <w:rsid w:val="001D75B9"/>
    <w:rsid w:val="001E0844"/>
    <w:rsid w:val="001E13A8"/>
    <w:rsid w:val="001E272D"/>
    <w:rsid w:val="001E29E6"/>
    <w:rsid w:val="001E3679"/>
    <w:rsid w:val="001E3715"/>
    <w:rsid w:val="001E4FC1"/>
    <w:rsid w:val="001E5837"/>
    <w:rsid w:val="001E6025"/>
    <w:rsid w:val="001E7962"/>
    <w:rsid w:val="001F09A4"/>
    <w:rsid w:val="001F3A1E"/>
    <w:rsid w:val="001F3A71"/>
    <w:rsid w:val="001F4DFB"/>
    <w:rsid w:val="001F4E2F"/>
    <w:rsid w:val="001F546D"/>
    <w:rsid w:val="001F5A04"/>
    <w:rsid w:val="001F61A7"/>
    <w:rsid w:val="001F6809"/>
    <w:rsid w:val="001F73AC"/>
    <w:rsid w:val="00200568"/>
    <w:rsid w:val="00200A4F"/>
    <w:rsid w:val="00200BF0"/>
    <w:rsid w:val="00200E0C"/>
    <w:rsid w:val="00201FEC"/>
    <w:rsid w:val="002020F2"/>
    <w:rsid w:val="00204B9F"/>
    <w:rsid w:val="0020621B"/>
    <w:rsid w:val="00207823"/>
    <w:rsid w:val="00210F43"/>
    <w:rsid w:val="0021193C"/>
    <w:rsid w:val="00212FE7"/>
    <w:rsid w:val="002131AB"/>
    <w:rsid w:val="002146A8"/>
    <w:rsid w:val="00215A9C"/>
    <w:rsid w:val="00215E0F"/>
    <w:rsid w:val="002165F2"/>
    <w:rsid w:val="002169FA"/>
    <w:rsid w:val="00216E3B"/>
    <w:rsid w:val="00216F1A"/>
    <w:rsid w:val="00217703"/>
    <w:rsid w:val="00217FEB"/>
    <w:rsid w:val="0022000E"/>
    <w:rsid w:val="0022221A"/>
    <w:rsid w:val="002227B5"/>
    <w:rsid w:val="00222C17"/>
    <w:rsid w:val="002233C3"/>
    <w:rsid w:val="002234BE"/>
    <w:rsid w:val="00223FC2"/>
    <w:rsid w:val="00224E3C"/>
    <w:rsid w:val="002256A9"/>
    <w:rsid w:val="00226D96"/>
    <w:rsid w:val="00227F30"/>
    <w:rsid w:val="00230BD3"/>
    <w:rsid w:val="0023171F"/>
    <w:rsid w:val="002326B3"/>
    <w:rsid w:val="0023535E"/>
    <w:rsid w:val="00235424"/>
    <w:rsid w:val="002357EB"/>
    <w:rsid w:val="00236435"/>
    <w:rsid w:val="00237799"/>
    <w:rsid w:val="00240799"/>
    <w:rsid w:val="00240B34"/>
    <w:rsid w:val="002410FB"/>
    <w:rsid w:val="0024135C"/>
    <w:rsid w:val="00242E2A"/>
    <w:rsid w:val="0024420A"/>
    <w:rsid w:val="00244C7B"/>
    <w:rsid w:val="002462F3"/>
    <w:rsid w:val="00246D20"/>
    <w:rsid w:val="00246FA6"/>
    <w:rsid w:val="0025010E"/>
    <w:rsid w:val="00250947"/>
    <w:rsid w:val="00250BF1"/>
    <w:rsid w:val="00250C99"/>
    <w:rsid w:val="00251309"/>
    <w:rsid w:val="0025271A"/>
    <w:rsid w:val="00252C6C"/>
    <w:rsid w:val="00252F32"/>
    <w:rsid w:val="00253164"/>
    <w:rsid w:val="00253252"/>
    <w:rsid w:val="002543B7"/>
    <w:rsid w:val="00254DFC"/>
    <w:rsid w:val="002550F0"/>
    <w:rsid w:val="00256426"/>
    <w:rsid w:val="00256780"/>
    <w:rsid w:val="00256E41"/>
    <w:rsid w:val="00260999"/>
    <w:rsid w:val="002609A7"/>
    <w:rsid w:val="00261B81"/>
    <w:rsid w:val="00261FCB"/>
    <w:rsid w:val="00262A63"/>
    <w:rsid w:val="0026360A"/>
    <w:rsid w:val="00263913"/>
    <w:rsid w:val="00263A36"/>
    <w:rsid w:val="0026537B"/>
    <w:rsid w:val="002660D3"/>
    <w:rsid w:val="00266A86"/>
    <w:rsid w:val="002673E8"/>
    <w:rsid w:val="00267837"/>
    <w:rsid w:val="00270F53"/>
    <w:rsid w:val="00272B53"/>
    <w:rsid w:val="00274A40"/>
    <w:rsid w:val="00274CEC"/>
    <w:rsid w:val="00277610"/>
    <w:rsid w:val="0028165C"/>
    <w:rsid w:val="002817E6"/>
    <w:rsid w:val="00281E20"/>
    <w:rsid w:val="002824CE"/>
    <w:rsid w:val="00285695"/>
    <w:rsid w:val="00285770"/>
    <w:rsid w:val="00286AC1"/>
    <w:rsid w:val="002873EB"/>
    <w:rsid w:val="0029118C"/>
    <w:rsid w:val="00291262"/>
    <w:rsid w:val="0029238E"/>
    <w:rsid w:val="00292537"/>
    <w:rsid w:val="00293A22"/>
    <w:rsid w:val="00294832"/>
    <w:rsid w:val="002951B4"/>
    <w:rsid w:val="00296849"/>
    <w:rsid w:val="0029707D"/>
    <w:rsid w:val="00297BF6"/>
    <w:rsid w:val="002A07C3"/>
    <w:rsid w:val="002A195D"/>
    <w:rsid w:val="002A3ED3"/>
    <w:rsid w:val="002A6157"/>
    <w:rsid w:val="002A6E88"/>
    <w:rsid w:val="002A74F8"/>
    <w:rsid w:val="002B01BE"/>
    <w:rsid w:val="002B04E4"/>
    <w:rsid w:val="002B0940"/>
    <w:rsid w:val="002B1923"/>
    <w:rsid w:val="002B23DF"/>
    <w:rsid w:val="002B33E6"/>
    <w:rsid w:val="002B3B93"/>
    <w:rsid w:val="002B3D96"/>
    <w:rsid w:val="002B4FF5"/>
    <w:rsid w:val="002B5C17"/>
    <w:rsid w:val="002B6291"/>
    <w:rsid w:val="002B7256"/>
    <w:rsid w:val="002B779E"/>
    <w:rsid w:val="002C05CA"/>
    <w:rsid w:val="002C1AB6"/>
    <w:rsid w:val="002C23E5"/>
    <w:rsid w:val="002C29EF"/>
    <w:rsid w:val="002C703D"/>
    <w:rsid w:val="002C77A0"/>
    <w:rsid w:val="002D0A4A"/>
    <w:rsid w:val="002D0B29"/>
    <w:rsid w:val="002D4F0D"/>
    <w:rsid w:val="002D54DE"/>
    <w:rsid w:val="002D5823"/>
    <w:rsid w:val="002D6626"/>
    <w:rsid w:val="002D67BE"/>
    <w:rsid w:val="002E0003"/>
    <w:rsid w:val="002E0368"/>
    <w:rsid w:val="002E082F"/>
    <w:rsid w:val="002E1292"/>
    <w:rsid w:val="002E1694"/>
    <w:rsid w:val="002E16B0"/>
    <w:rsid w:val="002E1B99"/>
    <w:rsid w:val="002E2FD4"/>
    <w:rsid w:val="002E39AB"/>
    <w:rsid w:val="002E3A0D"/>
    <w:rsid w:val="002E4325"/>
    <w:rsid w:val="002E45C9"/>
    <w:rsid w:val="002E4CA8"/>
    <w:rsid w:val="002E5526"/>
    <w:rsid w:val="002E6204"/>
    <w:rsid w:val="002F00CD"/>
    <w:rsid w:val="002F2E31"/>
    <w:rsid w:val="002F3BEF"/>
    <w:rsid w:val="002F45B5"/>
    <w:rsid w:val="002F4815"/>
    <w:rsid w:val="002F5198"/>
    <w:rsid w:val="002F5DE6"/>
    <w:rsid w:val="002F6154"/>
    <w:rsid w:val="002F6E8F"/>
    <w:rsid w:val="002F702E"/>
    <w:rsid w:val="002F7944"/>
    <w:rsid w:val="00300368"/>
    <w:rsid w:val="00300FD9"/>
    <w:rsid w:val="0030131E"/>
    <w:rsid w:val="00302D90"/>
    <w:rsid w:val="00303F28"/>
    <w:rsid w:val="00304C57"/>
    <w:rsid w:val="003051A3"/>
    <w:rsid w:val="003052CB"/>
    <w:rsid w:val="00305D20"/>
    <w:rsid w:val="00306523"/>
    <w:rsid w:val="003065CC"/>
    <w:rsid w:val="00311F5C"/>
    <w:rsid w:val="003129D4"/>
    <w:rsid w:val="003131FC"/>
    <w:rsid w:val="0031458A"/>
    <w:rsid w:val="00314B9E"/>
    <w:rsid w:val="00315501"/>
    <w:rsid w:val="003162F6"/>
    <w:rsid w:val="003219C6"/>
    <w:rsid w:val="00322517"/>
    <w:rsid w:val="00322C4B"/>
    <w:rsid w:val="00322F5E"/>
    <w:rsid w:val="003236E4"/>
    <w:rsid w:val="00324148"/>
    <w:rsid w:val="00326F9A"/>
    <w:rsid w:val="00331912"/>
    <w:rsid w:val="00331DA0"/>
    <w:rsid w:val="00331DFA"/>
    <w:rsid w:val="0033229E"/>
    <w:rsid w:val="0033342F"/>
    <w:rsid w:val="00335187"/>
    <w:rsid w:val="003356A7"/>
    <w:rsid w:val="00335BF4"/>
    <w:rsid w:val="00335F3F"/>
    <w:rsid w:val="00336A76"/>
    <w:rsid w:val="00340509"/>
    <w:rsid w:val="00340791"/>
    <w:rsid w:val="00341EF3"/>
    <w:rsid w:val="003420FE"/>
    <w:rsid w:val="00344629"/>
    <w:rsid w:val="0034706D"/>
    <w:rsid w:val="00347794"/>
    <w:rsid w:val="003506C1"/>
    <w:rsid w:val="00351245"/>
    <w:rsid w:val="003516C5"/>
    <w:rsid w:val="00351CB2"/>
    <w:rsid w:val="00351D84"/>
    <w:rsid w:val="00351E68"/>
    <w:rsid w:val="00353281"/>
    <w:rsid w:val="003549FD"/>
    <w:rsid w:val="00355E61"/>
    <w:rsid w:val="00361DAC"/>
    <w:rsid w:val="00362C6D"/>
    <w:rsid w:val="00363303"/>
    <w:rsid w:val="00363A0B"/>
    <w:rsid w:val="00364368"/>
    <w:rsid w:val="0036436A"/>
    <w:rsid w:val="0036508F"/>
    <w:rsid w:val="003653B1"/>
    <w:rsid w:val="00365DFF"/>
    <w:rsid w:val="003665D6"/>
    <w:rsid w:val="003700D7"/>
    <w:rsid w:val="00370304"/>
    <w:rsid w:val="003709AE"/>
    <w:rsid w:val="00370F39"/>
    <w:rsid w:val="00370FC4"/>
    <w:rsid w:val="00373C59"/>
    <w:rsid w:val="0037432F"/>
    <w:rsid w:val="0037511A"/>
    <w:rsid w:val="0037709A"/>
    <w:rsid w:val="00377C87"/>
    <w:rsid w:val="003811C9"/>
    <w:rsid w:val="0038120D"/>
    <w:rsid w:val="00381E3A"/>
    <w:rsid w:val="0038333B"/>
    <w:rsid w:val="0038413A"/>
    <w:rsid w:val="00384AD5"/>
    <w:rsid w:val="00384D8D"/>
    <w:rsid w:val="003853B6"/>
    <w:rsid w:val="00385A24"/>
    <w:rsid w:val="00386A2F"/>
    <w:rsid w:val="00386DC5"/>
    <w:rsid w:val="00387DAF"/>
    <w:rsid w:val="00387DF5"/>
    <w:rsid w:val="003908B6"/>
    <w:rsid w:val="00390A8F"/>
    <w:rsid w:val="00390D53"/>
    <w:rsid w:val="003912B1"/>
    <w:rsid w:val="003915CD"/>
    <w:rsid w:val="00392DCE"/>
    <w:rsid w:val="00393DB2"/>
    <w:rsid w:val="00393ED0"/>
    <w:rsid w:val="00397267"/>
    <w:rsid w:val="003974B0"/>
    <w:rsid w:val="003978B4"/>
    <w:rsid w:val="00397A42"/>
    <w:rsid w:val="00397C8E"/>
    <w:rsid w:val="003A132E"/>
    <w:rsid w:val="003A2140"/>
    <w:rsid w:val="003A2988"/>
    <w:rsid w:val="003A4B4A"/>
    <w:rsid w:val="003A536E"/>
    <w:rsid w:val="003A5BBB"/>
    <w:rsid w:val="003A7CE9"/>
    <w:rsid w:val="003B0648"/>
    <w:rsid w:val="003B2CB0"/>
    <w:rsid w:val="003B43E7"/>
    <w:rsid w:val="003B6957"/>
    <w:rsid w:val="003B72AB"/>
    <w:rsid w:val="003B7339"/>
    <w:rsid w:val="003C1154"/>
    <w:rsid w:val="003C1345"/>
    <w:rsid w:val="003C47D6"/>
    <w:rsid w:val="003C4C33"/>
    <w:rsid w:val="003C58BE"/>
    <w:rsid w:val="003C6C28"/>
    <w:rsid w:val="003C70D3"/>
    <w:rsid w:val="003D117D"/>
    <w:rsid w:val="003D1678"/>
    <w:rsid w:val="003D1971"/>
    <w:rsid w:val="003D231E"/>
    <w:rsid w:val="003D2E00"/>
    <w:rsid w:val="003D3143"/>
    <w:rsid w:val="003D3C60"/>
    <w:rsid w:val="003D407E"/>
    <w:rsid w:val="003D5FA7"/>
    <w:rsid w:val="003D6036"/>
    <w:rsid w:val="003D6A0B"/>
    <w:rsid w:val="003D6AB4"/>
    <w:rsid w:val="003D701B"/>
    <w:rsid w:val="003D75B3"/>
    <w:rsid w:val="003E02C3"/>
    <w:rsid w:val="003E0E26"/>
    <w:rsid w:val="003E195B"/>
    <w:rsid w:val="003E1D72"/>
    <w:rsid w:val="003E3305"/>
    <w:rsid w:val="003E3AAD"/>
    <w:rsid w:val="003E3B10"/>
    <w:rsid w:val="003E5436"/>
    <w:rsid w:val="003E7396"/>
    <w:rsid w:val="003E79F8"/>
    <w:rsid w:val="003F028D"/>
    <w:rsid w:val="003F0417"/>
    <w:rsid w:val="003F07DB"/>
    <w:rsid w:val="003F1751"/>
    <w:rsid w:val="003F3AD5"/>
    <w:rsid w:val="003F4572"/>
    <w:rsid w:val="003F6133"/>
    <w:rsid w:val="003F6888"/>
    <w:rsid w:val="004011CD"/>
    <w:rsid w:val="0040134D"/>
    <w:rsid w:val="004015BE"/>
    <w:rsid w:val="00401AB4"/>
    <w:rsid w:val="00401C7A"/>
    <w:rsid w:val="00401FC3"/>
    <w:rsid w:val="00402F78"/>
    <w:rsid w:val="00404106"/>
    <w:rsid w:val="0040553A"/>
    <w:rsid w:val="00405929"/>
    <w:rsid w:val="00406A18"/>
    <w:rsid w:val="00406CE7"/>
    <w:rsid w:val="00406CF5"/>
    <w:rsid w:val="0040709F"/>
    <w:rsid w:val="00407F52"/>
    <w:rsid w:val="00410903"/>
    <w:rsid w:val="0041109F"/>
    <w:rsid w:val="004116DA"/>
    <w:rsid w:val="00411757"/>
    <w:rsid w:val="00412737"/>
    <w:rsid w:val="00413A45"/>
    <w:rsid w:val="00413E08"/>
    <w:rsid w:val="004145B8"/>
    <w:rsid w:val="004147C2"/>
    <w:rsid w:val="0041571A"/>
    <w:rsid w:val="0041599A"/>
    <w:rsid w:val="00417D8F"/>
    <w:rsid w:val="00420A3C"/>
    <w:rsid w:val="00421769"/>
    <w:rsid w:val="00423AAA"/>
    <w:rsid w:val="00423D8F"/>
    <w:rsid w:val="00423E39"/>
    <w:rsid w:val="004255CC"/>
    <w:rsid w:val="004262FE"/>
    <w:rsid w:val="00426D6B"/>
    <w:rsid w:val="004307BC"/>
    <w:rsid w:val="004309AB"/>
    <w:rsid w:val="0043177B"/>
    <w:rsid w:val="0043312A"/>
    <w:rsid w:val="0043455D"/>
    <w:rsid w:val="00435290"/>
    <w:rsid w:val="00435CD3"/>
    <w:rsid w:val="00436883"/>
    <w:rsid w:val="004372F5"/>
    <w:rsid w:val="00437ABB"/>
    <w:rsid w:val="0044143D"/>
    <w:rsid w:val="00441F69"/>
    <w:rsid w:val="004423A8"/>
    <w:rsid w:val="00443472"/>
    <w:rsid w:val="004445D0"/>
    <w:rsid w:val="0044535E"/>
    <w:rsid w:val="0044636D"/>
    <w:rsid w:val="004463DB"/>
    <w:rsid w:val="00450343"/>
    <w:rsid w:val="00450613"/>
    <w:rsid w:val="0045153E"/>
    <w:rsid w:val="00452039"/>
    <w:rsid w:val="004523CD"/>
    <w:rsid w:val="0045371F"/>
    <w:rsid w:val="004547DA"/>
    <w:rsid w:val="00455265"/>
    <w:rsid w:val="004554BF"/>
    <w:rsid w:val="00455531"/>
    <w:rsid w:val="004559D7"/>
    <w:rsid w:val="00455A50"/>
    <w:rsid w:val="00457762"/>
    <w:rsid w:val="00457AF1"/>
    <w:rsid w:val="00457F11"/>
    <w:rsid w:val="004601FA"/>
    <w:rsid w:val="004614E3"/>
    <w:rsid w:val="004619EF"/>
    <w:rsid w:val="00461F5C"/>
    <w:rsid w:val="004629FA"/>
    <w:rsid w:val="00462C73"/>
    <w:rsid w:val="00463095"/>
    <w:rsid w:val="0046347A"/>
    <w:rsid w:val="00464B25"/>
    <w:rsid w:val="0046512F"/>
    <w:rsid w:val="00471361"/>
    <w:rsid w:val="00471ED6"/>
    <w:rsid w:val="00472200"/>
    <w:rsid w:val="00472218"/>
    <w:rsid w:val="004728F7"/>
    <w:rsid w:val="004754FF"/>
    <w:rsid w:val="00475516"/>
    <w:rsid w:val="00475573"/>
    <w:rsid w:val="004756E8"/>
    <w:rsid w:val="00475990"/>
    <w:rsid w:val="004759C8"/>
    <w:rsid w:val="00476516"/>
    <w:rsid w:val="004768C1"/>
    <w:rsid w:val="00476978"/>
    <w:rsid w:val="00476A20"/>
    <w:rsid w:val="00477F61"/>
    <w:rsid w:val="00481654"/>
    <w:rsid w:val="00482513"/>
    <w:rsid w:val="00483570"/>
    <w:rsid w:val="004837C2"/>
    <w:rsid w:val="00485694"/>
    <w:rsid w:val="004866BF"/>
    <w:rsid w:val="00486B65"/>
    <w:rsid w:val="004908C1"/>
    <w:rsid w:val="00491CF7"/>
    <w:rsid w:val="0049214A"/>
    <w:rsid w:val="004927EC"/>
    <w:rsid w:val="00494633"/>
    <w:rsid w:val="00497087"/>
    <w:rsid w:val="00497CB8"/>
    <w:rsid w:val="004A11B4"/>
    <w:rsid w:val="004A19E4"/>
    <w:rsid w:val="004A3116"/>
    <w:rsid w:val="004A491D"/>
    <w:rsid w:val="004A5ABF"/>
    <w:rsid w:val="004A6518"/>
    <w:rsid w:val="004A748E"/>
    <w:rsid w:val="004B04E5"/>
    <w:rsid w:val="004B10D5"/>
    <w:rsid w:val="004B20AD"/>
    <w:rsid w:val="004B25F9"/>
    <w:rsid w:val="004B2E8D"/>
    <w:rsid w:val="004B4709"/>
    <w:rsid w:val="004B5586"/>
    <w:rsid w:val="004B5EDE"/>
    <w:rsid w:val="004B7BEA"/>
    <w:rsid w:val="004C0608"/>
    <w:rsid w:val="004C061B"/>
    <w:rsid w:val="004C1AC3"/>
    <w:rsid w:val="004C307B"/>
    <w:rsid w:val="004C435D"/>
    <w:rsid w:val="004C56A5"/>
    <w:rsid w:val="004C66C9"/>
    <w:rsid w:val="004D0B08"/>
    <w:rsid w:val="004D0D58"/>
    <w:rsid w:val="004D1D98"/>
    <w:rsid w:val="004D2C8E"/>
    <w:rsid w:val="004D30C5"/>
    <w:rsid w:val="004D4509"/>
    <w:rsid w:val="004D4746"/>
    <w:rsid w:val="004D4A26"/>
    <w:rsid w:val="004D4C3C"/>
    <w:rsid w:val="004D5E08"/>
    <w:rsid w:val="004D5FB8"/>
    <w:rsid w:val="004D6BAD"/>
    <w:rsid w:val="004D7FB8"/>
    <w:rsid w:val="004E035B"/>
    <w:rsid w:val="004E15FA"/>
    <w:rsid w:val="004E1FE1"/>
    <w:rsid w:val="004E2302"/>
    <w:rsid w:val="004E2445"/>
    <w:rsid w:val="004E3142"/>
    <w:rsid w:val="004E3CEA"/>
    <w:rsid w:val="004E4BD5"/>
    <w:rsid w:val="004E5B90"/>
    <w:rsid w:val="004E7660"/>
    <w:rsid w:val="004F0175"/>
    <w:rsid w:val="004F0B41"/>
    <w:rsid w:val="004F1376"/>
    <w:rsid w:val="004F2565"/>
    <w:rsid w:val="004F350C"/>
    <w:rsid w:val="004F3530"/>
    <w:rsid w:val="004F3914"/>
    <w:rsid w:val="004F3BC4"/>
    <w:rsid w:val="004F4DA9"/>
    <w:rsid w:val="004F58FA"/>
    <w:rsid w:val="004F5D6E"/>
    <w:rsid w:val="004F7203"/>
    <w:rsid w:val="00501012"/>
    <w:rsid w:val="00501059"/>
    <w:rsid w:val="00501A99"/>
    <w:rsid w:val="00501D6F"/>
    <w:rsid w:val="005029E4"/>
    <w:rsid w:val="00502B7B"/>
    <w:rsid w:val="00502BE1"/>
    <w:rsid w:val="005036A2"/>
    <w:rsid w:val="00503AD0"/>
    <w:rsid w:val="00503B6D"/>
    <w:rsid w:val="00504690"/>
    <w:rsid w:val="005050FD"/>
    <w:rsid w:val="005057D9"/>
    <w:rsid w:val="00511DA7"/>
    <w:rsid w:val="00511DE2"/>
    <w:rsid w:val="00512ED0"/>
    <w:rsid w:val="00513999"/>
    <w:rsid w:val="00514EFB"/>
    <w:rsid w:val="00514F6C"/>
    <w:rsid w:val="005177DF"/>
    <w:rsid w:val="00521404"/>
    <w:rsid w:val="0052164A"/>
    <w:rsid w:val="0052247E"/>
    <w:rsid w:val="00522720"/>
    <w:rsid w:val="00522F48"/>
    <w:rsid w:val="00523131"/>
    <w:rsid w:val="00523DC3"/>
    <w:rsid w:val="00523EE6"/>
    <w:rsid w:val="0052403C"/>
    <w:rsid w:val="00526C7D"/>
    <w:rsid w:val="00531B73"/>
    <w:rsid w:val="005326EC"/>
    <w:rsid w:val="005332BF"/>
    <w:rsid w:val="00534281"/>
    <w:rsid w:val="00534B08"/>
    <w:rsid w:val="0053507A"/>
    <w:rsid w:val="00535674"/>
    <w:rsid w:val="005416B6"/>
    <w:rsid w:val="00541EC9"/>
    <w:rsid w:val="005420CB"/>
    <w:rsid w:val="0054273C"/>
    <w:rsid w:val="00543034"/>
    <w:rsid w:val="005437AC"/>
    <w:rsid w:val="00546776"/>
    <w:rsid w:val="005500AE"/>
    <w:rsid w:val="005503C7"/>
    <w:rsid w:val="005514AE"/>
    <w:rsid w:val="00552E4B"/>
    <w:rsid w:val="00552F45"/>
    <w:rsid w:val="005537E6"/>
    <w:rsid w:val="00553923"/>
    <w:rsid w:val="005554A7"/>
    <w:rsid w:val="005556BE"/>
    <w:rsid w:val="005569F0"/>
    <w:rsid w:val="00556A79"/>
    <w:rsid w:val="005603A1"/>
    <w:rsid w:val="0056047F"/>
    <w:rsid w:val="00561667"/>
    <w:rsid w:val="0056192D"/>
    <w:rsid w:val="00561C84"/>
    <w:rsid w:val="005625BC"/>
    <w:rsid w:val="00563439"/>
    <w:rsid w:val="005636D2"/>
    <w:rsid w:val="00563A1F"/>
    <w:rsid w:val="00563BA9"/>
    <w:rsid w:val="00563FBD"/>
    <w:rsid w:val="005640ED"/>
    <w:rsid w:val="00564535"/>
    <w:rsid w:val="00564600"/>
    <w:rsid w:val="00567029"/>
    <w:rsid w:val="00567A4B"/>
    <w:rsid w:val="005701AA"/>
    <w:rsid w:val="00571BA1"/>
    <w:rsid w:val="00571BEC"/>
    <w:rsid w:val="0057304B"/>
    <w:rsid w:val="005734AC"/>
    <w:rsid w:val="00573DB5"/>
    <w:rsid w:val="005743E8"/>
    <w:rsid w:val="00575477"/>
    <w:rsid w:val="00576146"/>
    <w:rsid w:val="00576C2A"/>
    <w:rsid w:val="00576D16"/>
    <w:rsid w:val="005802D2"/>
    <w:rsid w:val="0058123E"/>
    <w:rsid w:val="0058220E"/>
    <w:rsid w:val="00582E28"/>
    <w:rsid w:val="0058313A"/>
    <w:rsid w:val="00583ABC"/>
    <w:rsid w:val="0058452D"/>
    <w:rsid w:val="0058462A"/>
    <w:rsid w:val="00584768"/>
    <w:rsid w:val="005849C8"/>
    <w:rsid w:val="00584E9C"/>
    <w:rsid w:val="0058569E"/>
    <w:rsid w:val="00585A46"/>
    <w:rsid w:val="005877B2"/>
    <w:rsid w:val="00587A57"/>
    <w:rsid w:val="005903E4"/>
    <w:rsid w:val="005904A6"/>
    <w:rsid w:val="00590EB1"/>
    <w:rsid w:val="00591310"/>
    <w:rsid w:val="00592545"/>
    <w:rsid w:val="00593EB9"/>
    <w:rsid w:val="005940DC"/>
    <w:rsid w:val="00596465"/>
    <w:rsid w:val="005A14B3"/>
    <w:rsid w:val="005A2190"/>
    <w:rsid w:val="005A2ADF"/>
    <w:rsid w:val="005A3188"/>
    <w:rsid w:val="005A4855"/>
    <w:rsid w:val="005A4C92"/>
    <w:rsid w:val="005A6AE5"/>
    <w:rsid w:val="005A7A01"/>
    <w:rsid w:val="005B0683"/>
    <w:rsid w:val="005B0F02"/>
    <w:rsid w:val="005B1598"/>
    <w:rsid w:val="005B1D7B"/>
    <w:rsid w:val="005B2015"/>
    <w:rsid w:val="005B2B9B"/>
    <w:rsid w:val="005B4183"/>
    <w:rsid w:val="005B54C0"/>
    <w:rsid w:val="005B7B1A"/>
    <w:rsid w:val="005B7B92"/>
    <w:rsid w:val="005C1BE2"/>
    <w:rsid w:val="005C24BA"/>
    <w:rsid w:val="005C2F83"/>
    <w:rsid w:val="005C4C1F"/>
    <w:rsid w:val="005C5FE6"/>
    <w:rsid w:val="005C6914"/>
    <w:rsid w:val="005C6A04"/>
    <w:rsid w:val="005C77F3"/>
    <w:rsid w:val="005C7CA0"/>
    <w:rsid w:val="005D01B3"/>
    <w:rsid w:val="005D0C48"/>
    <w:rsid w:val="005D2756"/>
    <w:rsid w:val="005D2CE5"/>
    <w:rsid w:val="005D351F"/>
    <w:rsid w:val="005D5FA8"/>
    <w:rsid w:val="005D6CE4"/>
    <w:rsid w:val="005D7357"/>
    <w:rsid w:val="005D7806"/>
    <w:rsid w:val="005E1210"/>
    <w:rsid w:val="005E14EC"/>
    <w:rsid w:val="005E1B1B"/>
    <w:rsid w:val="005E4A5E"/>
    <w:rsid w:val="005E4ABD"/>
    <w:rsid w:val="005E5E11"/>
    <w:rsid w:val="005F1A71"/>
    <w:rsid w:val="005F1DB1"/>
    <w:rsid w:val="005F23C2"/>
    <w:rsid w:val="005F2E17"/>
    <w:rsid w:val="005F309C"/>
    <w:rsid w:val="005F44E9"/>
    <w:rsid w:val="005F459C"/>
    <w:rsid w:val="005F62E1"/>
    <w:rsid w:val="006008C7"/>
    <w:rsid w:val="00600C48"/>
    <w:rsid w:val="00601A9E"/>
    <w:rsid w:val="0060290E"/>
    <w:rsid w:val="00602A82"/>
    <w:rsid w:val="00603561"/>
    <w:rsid w:val="00603BB9"/>
    <w:rsid w:val="006046CA"/>
    <w:rsid w:val="00604E4D"/>
    <w:rsid w:val="00604E90"/>
    <w:rsid w:val="0060670A"/>
    <w:rsid w:val="006069A1"/>
    <w:rsid w:val="00607438"/>
    <w:rsid w:val="0060781E"/>
    <w:rsid w:val="006100F6"/>
    <w:rsid w:val="00610227"/>
    <w:rsid w:val="00610669"/>
    <w:rsid w:val="00611BF9"/>
    <w:rsid w:val="006121A2"/>
    <w:rsid w:val="00612673"/>
    <w:rsid w:val="00613914"/>
    <w:rsid w:val="00613F3B"/>
    <w:rsid w:val="006140A5"/>
    <w:rsid w:val="00614849"/>
    <w:rsid w:val="00614FDD"/>
    <w:rsid w:val="00614FF2"/>
    <w:rsid w:val="00615F52"/>
    <w:rsid w:val="00616C6A"/>
    <w:rsid w:val="00616E1D"/>
    <w:rsid w:val="00617487"/>
    <w:rsid w:val="00617BDD"/>
    <w:rsid w:val="00621E52"/>
    <w:rsid w:val="006238F9"/>
    <w:rsid w:val="0062422B"/>
    <w:rsid w:val="006243F1"/>
    <w:rsid w:val="006249D0"/>
    <w:rsid w:val="00624F3F"/>
    <w:rsid w:val="006259A8"/>
    <w:rsid w:val="00626B8C"/>
    <w:rsid w:val="00626CE6"/>
    <w:rsid w:val="00627F1D"/>
    <w:rsid w:val="00630A66"/>
    <w:rsid w:val="006316EB"/>
    <w:rsid w:val="00631E5C"/>
    <w:rsid w:val="00633A0D"/>
    <w:rsid w:val="00634757"/>
    <w:rsid w:val="006358A0"/>
    <w:rsid w:val="00635914"/>
    <w:rsid w:val="00635FA9"/>
    <w:rsid w:val="00637E6C"/>
    <w:rsid w:val="00640243"/>
    <w:rsid w:val="00640A6C"/>
    <w:rsid w:val="00641386"/>
    <w:rsid w:val="00641389"/>
    <w:rsid w:val="006419CD"/>
    <w:rsid w:val="00641F4B"/>
    <w:rsid w:val="0064384C"/>
    <w:rsid w:val="006442B3"/>
    <w:rsid w:val="006448E0"/>
    <w:rsid w:val="00644F7B"/>
    <w:rsid w:val="00645B90"/>
    <w:rsid w:val="00647F97"/>
    <w:rsid w:val="0065113F"/>
    <w:rsid w:val="00651C86"/>
    <w:rsid w:val="00651C9A"/>
    <w:rsid w:val="006532F6"/>
    <w:rsid w:val="0065387C"/>
    <w:rsid w:val="00653F73"/>
    <w:rsid w:val="0065589C"/>
    <w:rsid w:val="006559DA"/>
    <w:rsid w:val="00656197"/>
    <w:rsid w:val="0065669F"/>
    <w:rsid w:val="00656A7B"/>
    <w:rsid w:val="00656EE9"/>
    <w:rsid w:val="0066050D"/>
    <w:rsid w:val="00662216"/>
    <w:rsid w:val="00662443"/>
    <w:rsid w:val="00662727"/>
    <w:rsid w:val="00663050"/>
    <w:rsid w:val="00663748"/>
    <w:rsid w:val="006649B5"/>
    <w:rsid w:val="00666B9E"/>
    <w:rsid w:val="00667207"/>
    <w:rsid w:val="006701BB"/>
    <w:rsid w:val="00673039"/>
    <w:rsid w:val="00673398"/>
    <w:rsid w:val="00675209"/>
    <w:rsid w:val="006752D3"/>
    <w:rsid w:val="006754E4"/>
    <w:rsid w:val="00675E96"/>
    <w:rsid w:val="0067627B"/>
    <w:rsid w:val="006772A4"/>
    <w:rsid w:val="00680E1E"/>
    <w:rsid w:val="006810A8"/>
    <w:rsid w:val="0068194F"/>
    <w:rsid w:val="00683626"/>
    <w:rsid w:val="0069061D"/>
    <w:rsid w:val="006915ED"/>
    <w:rsid w:val="006923B9"/>
    <w:rsid w:val="00694507"/>
    <w:rsid w:val="00694B06"/>
    <w:rsid w:val="006950CD"/>
    <w:rsid w:val="00696826"/>
    <w:rsid w:val="006969A9"/>
    <w:rsid w:val="00697E84"/>
    <w:rsid w:val="006A1D12"/>
    <w:rsid w:val="006A25DB"/>
    <w:rsid w:val="006A4C6E"/>
    <w:rsid w:val="006A6B6E"/>
    <w:rsid w:val="006A799E"/>
    <w:rsid w:val="006B1092"/>
    <w:rsid w:val="006B118B"/>
    <w:rsid w:val="006B11BA"/>
    <w:rsid w:val="006B13DA"/>
    <w:rsid w:val="006B1CCE"/>
    <w:rsid w:val="006B2EBB"/>
    <w:rsid w:val="006C02D9"/>
    <w:rsid w:val="006C0784"/>
    <w:rsid w:val="006C1CF9"/>
    <w:rsid w:val="006C24E9"/>
    <w:rsid w:val="006C2E6C"/>
    <w:rsid w:val="006C4CD0"/>
    <w:rsid w:val="006C555C"/>
    <w:rsid w:val="006C5A63"/>
    <w:rsid w:val="006C5D6E"/>
    <w:rsid w:val="006C63FA"/>
    <w:rsid w:val="006C6DD3"/>
    <w:rsid w:val="006C7380"/>
    <w:rsid w:val="006C784D"/>
    <w:rsid w:val="006C7D5C"/>
    <w:rsid w:val="006D1985"/>
    <w:rsid w:val="006D1ABF"/>
    <w:rsid w:val="006D26C3"/>
    <w:rsid w:val="006D3BDD"/>
    <w:rsid w:val="006D4DFD"/>
    <w:rsid w:val="006D53A6"/>
    <w:rsid w:val="006D6C01"/>
    <w:rsid w:val="006E0A40"/>
    <w:rsid w:val="006E172C"/>
    <w:rsid w:val="006E1AE7"/>
    <w:rsid w:val="006E24A4"/>
    <w:rsid w:val="006E26F4"/>
    <w:rsid w:val="006E305D"/>
    <w:rsid w:val="006E3625"/>
    <w:rsid w:val="006E40F5"/>
    <w:rsid w:val="006E48C7"/>
    <w:rsid w:val="006E5F16"/>
    <w:rsid w:val="006E6CDC"/>
    <w:rsid w:val="006F1271"/>
    <w:rsid w:val="006F28CF"/>
    <w:rsid w:val="006F3877"/>
    <w:rsid w:val="006F3DA3"/>
    <w:rsid w:val="006F3FAE"/>
    <w:rsid w:val="006F41F8"/>
    <w:rsid w:val="006F4E56"/>
    <w:rsid w:val="006F5BA0"/>
    <w:rsid w:val="006F6820"/>
    <w:rsid w:val="006F74AD"/>
    <w:rsid w:val="006F7ECC"/>
    <w:rsid w:val="0070016D"/>
    <w:rsid w:val="007011BE"/>
    <w:rsid w:val="007023B2"/>
    <w:rsid w:val="007024C7"/>
    <w:rsid w:val="007027D3"/>
    <w:rsid w:val="007034D6"/>
    <w:rsid w:val="00703990"/>
    <w:rsid w:val="00704516"/>
    <w:rsid w:val="0070467F"/>
    <w:rsid w:val="00706821"/>
    <w:rsid w:val="007103AF"/>
    <w:rsid w:val="00710789"/>
    <w:rsid w:val="0071113A"/>
    <w:rsid w:val="007129F7"/>
    <w:rsid w:val="00712A61"/>
    <w:rsid w:val="00715093"/>
    <w:rsid w:val="00715699"/>
    <w:rsid w:val="0071586A"/>
    <w:rsid w:val="00720482"/>
    <w:rsid w:val="007208C6"/>
    <w:rsid w:val="00720F80"/>
    <w:rsid w:val="00720FD2"/>
    <w:rsid w:val="00722883"/>
    <w:rsid w:val="00722A24"/>
    <w:rsid w:val="0072328B"/>
    <w:rsid w:val="00723B6F"/>
    <w:rsid w:val="0072417E"/>
    <w:rsid w:val="0072541E"/>
    <w:rsid w:val="00725604"/>
    <w:rsid w:val="00725EC9"/>
    <w:rsid w:val="0073023F"/>
    <w:rsid w:val="00730B10"/>
    <w:rsid w:val="007312A7"/>
    <w:rsid w:val="007313B5"/>
    <w:rsid w:val="00733182"/>
    <w:rsid w:val="007331DB"/>
    <w:rsid w:val="00733A25"/>
    <w:rsid w:val="00734A90"/>
    <w:rsid w:val="00734CEC"/>
    <w:rsid w:val="00735141"/>
    <w:rsid w:val="007351B9"/>
    <w:rsid w:val="00735E9C"/>
    <w:rsid w:val="0073696C"/>
    <w:rsid w:val="00737B6A"/>
    <w:rsid w:val="007411F9"/>
    <w:rsid w:val="00742377"/>
    <w:rsid w:val="00743143"/>
    <w:rsid w:val="00744155"/>
    <w:rsid w:val="0074552B"/>
    <w:rsid w:val="0074559A"/>
    <w:rsid w:val="007463E6"/>
    <w:rsid w:val="007471A5"/>
    <w:rsid w:val="00747219"/>
    <w:rsid w:val="00750194"/>
    <w:rsid w:val="0075023F"/>
    <w:rsid w:val="00750AB8"/>
    <w:rsid w:val="00750D32"/>
    <w:rsid w:val="00751441"/>
    <w:rsid w:val="00751F2F"/>
    <w:rsid w:val="007526FC"/>
    <w:rsid w:val="00752B19"/>
    <w:rsid w:val="007553D3"/>
    <w:rsid w:val="00755978"/>
    <w:rsid w:val="00756664"/>
    <w:rsid w:val="00756FD0"/>
    <w:rsid w:val="00760348"/>
    <w:rsid w:val="00761845"/>
    <w:rsid w:val="00761B26"/>
    <w:rsid w:val="0076232F"/>
    <w:rsid w:val="0076303F"/>
    <w:rsid w:val="00763B26"/>
    <w:rsid w:val="00763FCB"/>
    <w:rsid w:val="00765666"/>
    <w:rsid w:val="00771FCB"/>
    <w:rsid w:val="0077269E"/>
    <w:rsid w:val="007728DE"/>
    <w:rsid w:val="0077299F"/>
    <w:rsid w:val="0077357C"/>
    <w:rsid w:val="00773D53"/>
    <w:rsid w:val="00775AF6"/>
    <w:rsid w:val="007767B6"/>
    <w:rsid w:val="007802D9"/>
    <w:rsid w:val="00780923"/>
    <w:rsid w:val="00780F4F"/>
    <w:rsid w:val="00780F71"/>
    <w:rsid w:val="00783D32"/>
    <w:rsid w:val="007843D0"/>
    <w:rsid w:val="0078547B"/>
    <w:rsid w:val="007854CF"/>
    <w:rsid w:val="007856C0"/>
    <w:rsid w:val="007857B6"/>
    <w:rsid w:val="00785BBF"/>
    <w:rsid w:val="00785E1A"/>
    <w:rsid w:val="007865DF"/>
    <w:rsid w:val="00787D4E"/>
    <w:rsid w:val="00790871"/>
    <w:rsid w:val="00790D3A"/>
    <w:rsid w:val="00791451"/>
    <w:rsid w:val="0079260E"/>
    <w:rsid w:val="00792889"/>
    <w:rsid w:val="007930EF"/>
    <w:rsid w:val="0079349E"/>
    <w:rsid w:val="00793D35"/>
    <w:rsid w:val="00793DF1"/>
    <w:rsid w:val="0079434E"/>
    <w:rsid w:val="007955FB"/>
    <w:rsid w:val="00795D91"/>
    <w:rsid w:val="00797DF6"/>
    <w:rsid w:val="007A066B"/>
    <w:rsid w:val="007A0BE5"/>
    <w:rsid w:val="007A312F"/>
    <w:rsid w:val="007A3E45"/>
    <w:rsid w:val="007A3F41"/>
    <w:rsid w:val="007A426B"/>
    <w:rsid w:val="007A4461"/>
    <w:rsid w:val="007A4CF3"/>
    <w:rsid w:val="007A5BD0"/>
    <w:rsid w:val="007A6E3C"/>
    <w:rsid w:val="007A701D"/>
    <w:rsid w:val="007A7530"/>
    <w:rsid w:val="007A7E4B"/>
    <w:rsid w:val="007B047C"/>
    <w:rsid w:val="007B05AD"/>
    <w:rsid w:val="007B2BDD"/>
    <w:rsid w:val="007B3128"/>
    <w:rsid w:val="007B323F"/>
    <w:rsid w:val="007B3732"/>
    <w:rsid w:val="007B3945"/>
    <w:rsid w:val="007B3BEE"/>
    <w:rsid w:val="007B4619"/>
    <w:rsid w:val="007B7DF2"/>
    <w:rsid w:val="007C1C7C"/>
    <w:rsid w:val="007C36F0"/>
    <w:rsid w:val="007C3715"/>
    <w:rsid w:val="007C3B9B"/>
    <w:rsid w:val="007C3C2D"/>
    <w:rsid w:val="007C412F"/>
    <w:rsid w:val="007C5312"/>
    <w:rsid w:val="007C5BEC"/>
    <w:rsid w:val="007C5CA0"/>
    <w:rsid w:val="007C7E1B"/>
    <w:rsid w:val="007D01AF"/>
    <w:rsid w:val="007D046B"/>
    <w:rsid w:val="007D16C6"/>
    <w:rsid w:val="007D19EE"/>
    <w:rsid w:val="007D1D9C"/>
    <w:rsid w:val="007D2200"/>
    <w:rsid w:val="007D22B4"/>
    <w:rsid w:val="007D2D0E"/>
    <w:rsid w:val="007D3634"/>
    <w:rsid w:val="007D3AB1"/>
    <w:rsid w:val="007D5816"/>
    <w:rsid w:val="007D6B5C"/>
    <w:rsid w:val="007D7249"/>
    <w:rsid w:val="007D75C7"/>
    <w:rsid w:val="007D7A74"/>
    <w:rsid w:val="007D7A98"/>
    <w:rsid w:val="007E1883"/>
    <w:rsid w:val="007E18F7"/>
    <w:rsid w:val="007E19AD"/>
    <w:rsid w:val="007E19EE"/>
    <w:rsid w:val="007E232F"/>
    <w:rsid w:val="007E2498"/>
    <w:rsid w:val="007E2B84"/>
    <w:rsid w:val="007E35C7"/>
    <w:rsid w:val="007E42EF"/>
    <w:rsid w:val="007E47EF"/>
    <w:rsid w:val="007E4BA6"/>
    <w:rsid w:val="007E5B47"/>
    <w:rsid w:val="007E62BA"/>
    <w:rsid w:val="007E64F7"/>
    <w:rsid w:val="007E741B"/>
    <w:rsid w:val="007F1872"/>
    <w:rsid w:val="007F29DE"/>
    <w:rsid w:val="007F2B49"/>
    <w:rsid w:val="007F3E97"/>
    <w:rsid w:val="007F4C11"/>
    <w:rsid w:val="008028D4"/>
    <w:rsid w:val="00802A30"/>
    <w:rsid w:val="0080697B"/>
    <w:rsid w:val="0080697C"/>
    <w:rsid w:val="00807D33"/>
    <w:rsid w:val="00807D58"/>
    <w:rsid w:val="00807E04"/>
    <w:rsid w:val="00810738"/>
    <w:rsid w:val="00810DD4"/>
    <w:rsid w:val="0081192D"/>
    <w:rsid w:val="00812E1B"/>
    <w:rsid w:val="00812E36"/>
    <w:rsid w:val="00814591"/>
    <w:rsid w:val="00815E27"/>
    <w:rsid w:val="00816458"/>
    <w:rsid w:val="008164D4"/>
    <w:rsid w:val="008210DC"/>
    <w:rsid w:val="008212E8"/>
    <w:rsid w:val="0082234D"/>
    <w:rsid w:val="0082312D"/>
    <w:rsid w:val="008236E8"/>
    <w:rsid w:val="00824B60"/>
    <w:rsid w:val="00825F59"/>
    <w:rsid w:val="0082757A"/>
    <w:rsid w:val="00830C65"/>
    <w:rsid w:val="00831314"/>
    <w:rsid w:val="00831F18"/>
    <w:rsid w:val="00832A1B"/>
    <w:rsid w:val="00833717"/>
    <w:rsid w:val="00833794"/>
    <w:rsid w:val="00835516"/>
    <w:rsid w:val="00835BBB"/>
    <w:rsid w:val="008361CD"/>
    <w:rsid w:val="00836B15"/>
    <w:rsid w:val="0083704A"/>
    <w:rsid w:val="0083768B"/>
    <w:rsid w:val="00841DF2"/>
    <w:rsid w:val="00843118"/>
    <w:rsid w:val="00843299"/>
    <w:rsid w:val="0084444B"/>
    <w:rsid w:val="00845AF5"/>
    <w:rsid w:val="00846427"/>
    <w:rsid w:val="00846C71"/>
    <w:rsid w:val="00846FCE"/>
    <w:rsid w:val="00847388"/>
    <w:rsid w:val="008473FE"/>
    <w:rsid w:val="008476A8"/>
    <w:rsid w:val="00847E83"/>
    <w:rsid w:val="00850032"/>
    <w:rsid w:val="00850C28"/>
    <w:rsid w:val="008519A1"/>
    <w:rsid w:val="00851B1A"/>
    <w:rsid w:val="0085289C"/>
    <w:rsid w:val="00852A25"/>
    <w:rsid w:val="0085462D"/>
    <w:rsid w:val="00855B87"/>
    <w:rsid w:val="00856C1D"/>
    <w:rsid w:val="008570AB"/>
    <w:rsid w:val="008579A3"/>
    <w:rsid w:val="00857CDC"/>
    <w:rsid w:val="00857F40"/>
    <w:rsid w:val="00861CFA"/>
    <w:rsid w:val="00863073"/>
    <w:rsid w:val="0086326D"/>
    <w:rsid w:val="0086482D"/>
    <w:rsid w:val="008657B6"/>
    <w:rsid w:val="00867248"/>
    <w:rsid w:val="00870A10"/>
    <w:rsid w:val="00874C7F"/>
    <w:rsid w:val="0087514C"/>
    <w:rsid w:val="0087538D"/>
    <w:rsid w:val="00875D6B"/>
    <w:rsid w:val="00876522"/>
    <w:rsid w:val="00876CC3"/>
    <w:rsid w:val="0087735C"/>
    <w:rsid w:val="00877C64"/>
    <w:rsid w:val="00877EA0"/>
    <w:rsid w:val="00880B4A"/>
    <w:rsid w:val="00880D6A"/>
    <w:rsid w:val="00881F95"/>
    <w:rsid w:val="00882702"/>
    <w:rsid w:val="0088291B"/>
    <w:rsid w:val="00882DDB"/>
    <w:rsid w:val="008833F5"/>
    <w:rsid w:val="00884709"/>
    <w:rsid w:val="008866F1"/>
    <w:rsid w:val="008906D3"/>
    <w:rsid w:val="0089212D"/>
    <w:rsid w:val="00892ADA"/>
    <w:rsid w:val="00894BA0"/>
    <w:rsid w:val="00894F8A"/>
    <w:rsid w:val="0089541D"/>
    <w:rsid w:val="00895B40"/>
    <w:rsid w:val="008960DD"/>
    <w:rsid w:val="008969C7"/>
    <w:rsid w:val="008A0578"/>
    <w:rsid w:val="008A24F7"/>
    <w:rsid w:val="008A2D31"/>
    <w:rsid w:val="008A2F2E"/>
    <w:rsid w:val="008A3C8E"/>
    <w:rsid w:val="008A3DFB"/>
    <w:rsid w:val="008A42A1"/>
    <w:rsid w:val="008A6942"/>
    <w:rsid w:val="008A6A37"/>
    <w:rsid w:val="008A7D30"/>
    <w:rsid w:val="008B04DE"/>
    <w:rsid w:val="008B0918"/>
    <w:rsid w:val="008B0A34"/>
    <w:rsid w:val="008B1DF1"/>
    <w:rsid w:val="008B21C1"/>
    <w:rsid w:val="008B2B0D"/>
    <w:rsid w:val="008B3C5E"/>
    <w:rsid w:val="008B6468"/>
    <w:rsid w:val="008C030D"/>
    <w:rsid w:val="008C10B1"/>
    <w:rsid w:val="008C164B"/>
    <w:rsid w:val="008C2342"/>
    <w:rsid w:val="008C36BF"/>
    <w:rsid w:val="008C5EDE"/>
    <w:rsid w:val="008C6392"/>
    <w:rsid w:val="008C6490"/>
    <w:rsid w:val="008C6547"/>
    <w:rsid w:val="008C7921"/>
    <w:rsid w:val="008D040C"/>
    <w:rsid w:val="008D05A1"/>
    <w:rsid w:val="008D2722"/>
    <w:rsid w:val="008D277C"/>
    <w:rsid w:val="008D281A"/>
    <w:rsid w:val="008D3F59"/>
    <w:rsid w:val="008D4625"/>
    <w:rsid w:val="008D4811"/>
    <w:rsid w:val="008D626D"/>
    <w:rsid w:val="008D67AA"/>
    <w:rsid w:val="008D7941"/>
    <w:rsid w:val="008D7EBC"/>
    <w:rsid w:val="008E015C"/>
    <w:rsid w:val="008E0D8E"/>
    <w:rsid w:val="008E0F63"/>
    <w:rsid w:val="008E1178"/>
    <w:rsid w:val="008E3B14"/>
    <w:rsid w:val="008E4BED"/>
    <w:rsid w:val="008E5900"/>
    <w:rsid w:val="008E5FA9"/>
    <w:rsid w:val="008E74D0"/>
    <w:rsid w:val="008F1549"/>
    <w:rsid w:val="008F1D9D"/>
    <w:rsid w:val="008F1FC0"/>
    <w:rsid w:val="008F3A34"/>
    <w:rsid w:val="008F4570"/>
    <w:rsid w:val="008F4ADA"/>
    <w:rsid w:val="008F5097"/>
    <w:rsid w:val="008F5947"/>
    <w:rsid w:val="008F6F7F"/>
    <w:rsid w:val="009008BF"/>
    <w:rsid w:val="00900C09"/>
    <w:rsid w:val="00901422"/>
    <w:rsid w:val="00901547"/>
    <w:rsid w:val="009016CF"/>
    <w:rsid w:val="00903051"/>
    <w:rsid w:val="00904363"/>
    <w:rsid w:val="00904F9A"/>
    <w:rsid w:val="00905E3C"/>
    <w:rsid w:val="0090643E"/>
    <w:rsid w:val="00906ECE"/>
    <w:rsid w:val="0091056B"/>
    <w:rsid w:val="009114F3"/>
    <w:rsid w:val="0091264C"/>
    <w:rsid w:val="009135EC"/>
    <w:rsid w:val="00913F92"/>
    <w:rsid w:val="00914607"/>
    <w:rsid w:val="0091468D"/>
    <w:rsid w:val="00914C31"/>
    <w:rsid w:val="0091658D"/>
    <w:rsid w:val="009166F2"/>
    <w:rsid w:val="00916ED9"/>
    <w:rsid w:val="00917852"/>
    <w:rsid w:val="00921E49"/>
    <w:rsid w:val="00923171"/>
    <w:rsid w:val="00923DE9"/>
    <w:rsid w:val="00924AB4"/>
    <w:rsid w:val="00925453"/>
    <w:rsid w:val="00927AA2"/>
    <w:rsid w:val="009301C2"/>
    <w:rsid w:val="0093043C"/>
    <w:rsid w:val="00930E0C"/>
    <w:rsid w:val="00931134"/>
    <w:rsid w:val="009316E6"/>
    <w:rsid w:val="00935420"/>
    <w:rsid w:val="009359B1"/>
    <w:rsid w:val="00937074"/>
    <w:rsid w:val="009372A3"/>
    <w:rsid w:val="00937F4D"/>
    <w:rsid w:val="00940019"/>
    <w:rsid w:val="00940FA0"/>
    <w:rsid w:val="00941D16"/>
    <w:rsid w:val="00942F10"/>
    <w:rsid w:val="0094335D"/>
    <w:rsid w:val="00943D4F"/>
    <w:rsid w:val="00944CE7"/>
    <w:rsid w:val="009468A3"/>
    <w:rsid w:val="00947C6F"/>
    <w:rsid w:val="00951134"/>
    <w:rsid w:val="00951B12"/>
    <w:rsid w:val="00952452"/>
    <w:rsid w:val="00952876"/>
    <w:rsid w:val="00952C2F"/>
    <w:rsid w:val="00954CC5"/>
    <w:rsid w:val="0095558B"/>
    <w:rsid w:val="0095630F"/>
    <w:rsid w:val="00956583"/>
    <w:rsid w:val="00963667"/>
    <w:rsid w:val="00963CA4"/>
    <w:rsid w:val="009648DA"/>
    <w:rsid w:val="00965203"/>
    <w:rsid w:val="00965770"/>
    <w:rsid w:val="00965D22"/>
    <w:rsid w:val="009666C8"/>
    <w:rsid w:val="0096672C"/>
    <w:rsid w:val="0096756E"/>
    <w:rsid w:val="00971335"/>
    <w:rsid w:val="00972FBD"/>
    <w:rsid w:val="0097300D"/>
    <w:rsid w:val="009734ED"/>
    <w:rsid w:val="00974266"/>
    <w:rsid w:val="009743F1"/>
    <w:rsid w:val="00974406"/>
    <w:rsid w:val="00974A6B"/>
    <w:rsid w:val="00974DFD"/>
    <w:rsid w:val="00974F16"/>
    <w:rsid w:val="009754FC"/>
    <w:rsid w:val="00975C9A"/>
    <w:rsid w:val="00975E2F"/>
    <w:rsid w:val="00976474"/>
    <w:rsid w:val="00976EBC"/>
    <w:rsid w:val="0097700F"/>
    <w:rsid w:val="009801D7"/>
    <w:rsid w:val="00982DFE"/>
    <w:rsid w:val="00983AC4"/>
    <w:rsid w:val="00983C00"/>
    <w:rsid w:val="0098420D"/>
    <w:rsid w:val="00985A40"/>
    <w:rsid w:val="00985C45"/>
    <w:rsid w:val="00985CC0"/>
    <w:rsid w:val="009860FE"/>
    <w:rsid w:val="009868E0"/>
    <w:rsid w:val="009906B5"/>
    <w:rsid w:val="00992242"/>
    <w:rsid w:val="00992A99"/>
    <w:rsid w:val="00992D07"/>
    <w:rsid w:val="0099396E"/>
    <w:rsid w:val="0099723D"/>
    <w:rsid w:val="009972DA"/>
    <w:rsid w:val="00997DE1"/>
    <w:rsid w:val="009A0317"/>
    <w:rsid w:val="009A1309"/>
    <w:rsid w:val="009A1C7C"/>
    <w:rsid w:val="009A2CFC"/>
    <w:rsid w:val="009A2DFA"/>
    <w:rsid w:val="009A2F93"/>
    <w:rsid w:val="009A3094"/>
    <w:rsid w:val="009A3864"/>
    <w:rsid w:val="009A3F58"/>
    <w:rsid w:val="009A4C5A"/>
    <w:rsid w:val="009A51B1"/>
    <w:rsid w:val="009A52A9"/>
    <w:rsid w:val="009A7E75"/>
    <w:rsid w:val="009B0041"/>
    <w:rsid w:val="009B2451"/>
    <w:rsid w:val="009B24AC"/>
    <w:rsid w:val="009B31B7"/>
    <w:rsid w:val="009B3741"/>
    <w:rsid w:val="009B4127"/>
    <w:rsid w:val="009B4C8E"/>
    <w:rsid w:val="009B4FCA"/>
    <w:rsid w:val="009B5D1D"/>
    <w:rsid w:val="009B5E45"/>
    <w:rsid w:val="009B6D69"/>
    <w:rsid w:val="009B6E2F"/>
    <w:rsid w:val="009B7377"/>
    <w:rsid w:val="009B7823"/>
    <w:rsid w:val="009C0BDD"/>
    <w:rsid w:val="009C1C3F"/>
    <w:rsid w:val="009C4997"/>
    <w:rsid w:val="009C503F"/>
    <w:rsid w:val="009C5E4E"/>
    <w:rsid w:val="009C7465"/>
    <w:rsid w:val="009C75CA"/>
    <w:rsid w:val="009D1BEB"/>
    <w:rsid w:val="009D2DDE"/>
    <w:rsid w:val="009D3410"/>
    <w:rsid w:val="009D3782"/>
    <w:rsid w:val="009D382C"/>
    <w:rsid w:val="009D5C3E"/>
    <w:rsid w:val="009D5EB7"/>
    <w:rsid w:val="009D625F"/>
    <w:rsid w:val="009D7520"/>
    <w:rsid w:val="009D7B32"/>
    <w:rsid w:val="009E0E2A"/>
    <w:rsid w:val="009E1158"/>
    <w:rsid w:val="009E2D0A"/>
    <w:rsid w:val="009E4B9D"/>
    <w:rsid w:val="009E4CF7"/>
    <w:rsid w:val="009E5A19"/>
    <w:rsid w:val="009E5C93"/>
    <w:rsid w:val="009E7046"/>
    <w:rsid w:val="009F0C07"/>
    <w:rsid w:val="009F246E"/>
    <w:rsid w:val="009F5402"/>
    <w:rsid w:val="009F66EB"/>
    <w:rsid w:val="009F6773"/>
    <w:rsid w:val="009F73B7"/>
    <w:rsid w:val="009F7D48"/>
    <w:rsid w:val="00A00443"/>
    <w:rsid w:val="00A0128C"/>
    <w:rsid w:val="00A01C87"/>
    <w:rsid w:val="00A0232E"/>
    <w:rsid w:val="00A02F51"/>
    <w:rsid w:val="00A03583"/>
    <w:rsid w:val="00A0449E"/>
    <w:rsid w:val="00A06CCD"/>
    <w:rsid w:val="00A10040"/>
    <w:rsid w:val="00A11E0A"/>
    <w:rsid w:val="00A1237B"/>
    <w:rsid w:val="00A12C1F"/>
    <w:rsid w:val="00A143BA"/>
    <w:rsid w:val="00A14EF1"/>
    <w:rsid w:val="00A1564E"/>
    <w:rsid w:val="00A16188"/>
    <w:rsid w:val="00A17194"/>
    <w:rsid w:val="00A203A2"/>
    <w:rsid w:val="00A2237F"/>
    <w:rsid w:val="00A22C4F"/>
    <w:rsid w:val="00A22D0C"/>
    <w:rsid w:val="00A234F4"/>
    <w:rsid w:val="00A24E43"/>
    <w:rsid w:val="00A25812"/>
    <w:rsid w:val="00A25D8F"/>
    <w:rsid w:val="00A2651E"/>
    <w:rsid w:val="00A26A0A"/>
    <w:rsid w:val="00A27CA0"/>
    <w:rsid w:val="00A30099"/>
    <w:rsid w:val="00A30132"/>
    <w:rsid w:val="00A31C00"/>
    <w:rsid w:val="00A32D1B"/>
    <w:rsid w:val="00A34577"/>
    <w:rsid w:val="00A35A65"/>
    <w:rsid w:val="00A371E3"/>
    <w:rsid w:val="00A40430"/>
    <w:rsid w:val="00A42EDB"/>
    <w:rsid w:val="00A42F8B"/>
    <w:rsid w:val="00A43692"/>
    <w:rsid w:val="00A43E8A"/>
    <w:rsid w:val="00A44BD5"/>
    <w:rsid w:val="00A4540E"/>
    <w:rsid w:val="00A455B8"/>
    <w:rsid w:val="00A46678"/>
    <w:rsid w:val="00A47182"/>
    <w:rsid w:val="00A474E9"/>
    <w:rsid w:val="00A47A21"/>
    <w:rsid w:val="00A514C2"/>
    <w:rsid w:val="00A52442"/>
    <w:rsid w:val="00A5252E"/>
    <w:rsid w:val="00A52B03"/>
    <w:rsid w:val="00A52BB9"/>
    <w:rsid w:val="00A530F7"/>
    <w:rsid w:val="00A5330F"/>
    <w:rsid w:val="00A534F9"/>
    <w:rsid w:val="00A53A9F"/>
    <w:rsid w:val="00A549DC"/>
    <w:rsid w:val="00A57011"/>
    <w:rsid w:val="00A628AE"/>
    <w:rsid w:val="00A640D4"/>
    <w:rsid w:val="00A6428A"/>
    <w:rsid w:val="00A64530"/>
    <w:rsid w:val="00A64E40"/>
    <w:rsid w:val="00A66A0D"/>
    <w:rsid w:val="00A70020"/>
    <w:rsid w:val="00A70A6F"/>
    <w:rsid w:val="00A71494"/>
    <w:rsid w:val="00A74CCE"/>
    <w:rsid w:val="00A74E4B"/>
    <w:rsid w:val="00A7537E"/>
    <w:rsid w:val="00A8116D"/>
    <w:rsid w:val="00A81351"/>
    <w:rsid w:val="00A816E5"/>
    <w:rsid w:val="00A828FB"/>
    <w:rsid w:val="00A82E02"/>
    <w:rsid w:val="00A838B1"/>
    <w:rsid w:val="00A842DA"/>
    <w:rsid w:val="00A848F2"/>
    <w:rsid w:val="00A849F6"/>
    <w:rsid w:val="00A84A17"/>
    <w:rsid w:val="00A84CE9"/>
    <w:rsid w:val="00A859D5"/>
    <w:rsid w:val="00A866EC"/>
    <w:rsid w:val="00A90E3C"/>
    <w:rsid w:val="00A918F7"/>
    <w:rsid w:val="00A93647"/>
    <w:rsid w:val="00A9378C"/>
    <w:rsid w:val="00A94298"/>
    <w:rsid w:val="00A94477"/>
    <w:rsid w:val="00A94CE8"/>
    <w:rsid w:val="00A94F82"/>
    <w:rsid w:val="00A953B2"/>
    <w:rsid w:val="00A954DF"/>
    <w:rsid w:val="00A95D05"/>
    <w:rsid w:val="00A965D6"/>
    <w:rsid w:val="00A97A4C"/>
    <w:rsid w:val="00AA0267"/>
    <w:rsid w:val="00AA09B0"/>
    <w:rsid w:val="00AA111E"/>
    <w:rsid w:val="00AA13A3"/>
    <w:rsid w:val="00AA1F45"/>
    <w:rsid w:val="00AA252C"/>
    <w:rsid w:val="00AA2C6C"/>
    <w:rsid w:val="00AA2CD8"/>
    <w:rsid w:val="00AA37EA"/>
    <w:rsid w:val="00AA410A"/>
    <w:rsid w:val="00AA56F8"/>
    <w:rsid w:val="00AA6F36"/>
    <w:rsid w:val="00AA7BA8"/>
    <w:rsid w:val="00AB008B"/>
    <w:rsid w:val="00AB11E8"/>
    <w:rsid w:val="00AB16E9"/>
    <w:rsid w:val="00AB1C75"/>
    <w:rsid w:val="00AB28C7"/>
    <w:rsid w:val="00AB2EF1"/>
    <w:rsid w:val="00AB2FC3"/>
    <w:rsid w:val="00AB35D4"/>
    <w:rsid w:val="00AB4971"/>
    <w:rsid w:val="00AB4B23"/>
    <w:rsid w:val="00AB4F76"/>
    <w:rsid w:val="00AB5963"/>
    <w:rsid w:val="00AB7749"/>
    <w:rsid w:val="00AB7A47"/>
    <w:rsid w:val="00AC0329"/>
    <w:rsid w:val="00AC1852"/>
    <w:rsid w:val="00AC2E74"/>
    <w:rsid w:val="00AC493E"/>
    <w:rsid w:val="00AC4EEC"/>
    <w:rsid w:val="00AC5588"/>
    <w:rsid w:val="00AC5814"/>
    <w:rsid w:val="00AC5F1C"/>
    <w:rsid w:val="00AC6098"/>
    <w:rsid w:val="00AC6777"/>
    <w:rsid w:val="00AC6F98"/>
    <w:rsid w:val="00AC7A65"/>
    <w:rsid w:val="00AD0A3C"/>
    <w:rsid w:val="00AD2727"/>
    <w:rsid w:val="00AD2BAC"/>
    <w:rsid w:val="00AD2FF5"/>
    <w:rsid w:val="00AD4D70"/>
    <w:rsid w:val="00AD50B7"/>
    <w:rsid w:val="00AD5B75"/>
    <w:rsid w:val="00AD5F26"/>
    <w:rsid w:val="00AD63C0"/>
    <w:rsid w:val="00AD6CBA"/>
    <w:rsid w:val="00AD7C9B"/>
    <w:rsid w:val="00AE1652"/>
    <w:rsid w:val="00AE4695"/>
    <w:rsid w:val="00AE595F"/>
    <w:rsid w:val="00AE6B8E"/>
    <w:rsid w:val="00AE7055"/>
    <w:rsid w:val="00AF0A78"/>
    <w:rsid w:val="00AF117F"/>
    <w:rsid w:val="00AF2A52"/>
    <w:rsid w:val="00AF2B66"/>
    <w:rsid w:val="00AF2C80"/>
    <w:rsid w:val="00AF46FE"/>
    <w:rsid w:val="00AF4779"/>
    <w:rsid w:val="00AF5324"/>
    <w:rsid w:val="00AF5519"/>
    <w:rsid w:val="00AF5B46"/>
    <w:rsid w:val="00AF6411"/>
    <w:rsid w:val="00AF7410"/>
    <w:rsid w:val="00B00044"/>
    <w:rsid w:val="00B01294"/>
    <w:rsid w:val="00B01337"/>
    <w:rsid w:val="00B020A4"/>
    <w:rsid w:val="00B048D2"/>
    <w:rsid w:val="00B05A5F"/>
    <w:rsid w:val="00B0703E"/>
    <w:rsid w:val="00B07F30"/>
    <w:rsid w:val="00B11B46"/>
    <w:rsid w:val="00B127F8"/>
    <w:rsid w:val="00B12EE5"/>
    <w:rsid w:val="00B16D8A"/>
    <w:rsid w:val="00B17F94"/>
    <w:rsid w:val="00B200D7"/>
    <w:rsid w:val="00B20458"/>
    <w:rsid w:val="00B212D5"/>
    <w:rsid w:val="00B220C6"/>
    <w:rsid w:val="00B225BA"/>
    <w:rsid w:val="00B22AB5"/>
    <w:rsid w:val="00B22AE9"/>
    <w:rsid w:val="00B23668"/>
    <w:rsid w:val="00B24A3E"/>
    <w:rsid w:val="00B24D89"/>
    <w:rsid w:val="00B255A4"/>
    <w:rsid w:val="00B25C9A"/>
    <w:rsid w:val="00B25CDE"/>
    <w:rsid w:val="00B277D9"/>
    <w:rsid w:val="00B31A2C"/>
    <w:rsid w:val="00B3408A"/>
    <w:rsid w:val="00B36AF5"/>
    <w:rsid w:val="00B36E43"/>
    <w:rsid w:val="00B4175E"/>
    <w:rsid w:val="00B420BF"/>
    <w:rsid w:val="00B42352"/>
    <w:rsid w:val="00B42E81"/>
    <w:rsid w:val="00B42F45"/>
    <w:rsid w:val="00B42FFE"/>
    <w:rsid w:val="00B4411E"/>
    <w:rsid w:val="00B457FB"/>
    <w:rsid w:val="00B459A0"/>
    <w:rsid w:val="00B45B5A"/>
    <w:rsid w:val="00B4690E"/>
    <w:rsid w:val="00B479DE"/>
    <w:rsid w:val="00B50172"/>
    <w:rsid w:val="00B525FF"/>
    <w:rsid w:val="00B5304E"/>
    <w:rsid w:val="00B54200"/>
    <w:rsid w:val="00B54523"/>
    <w:rsid w:val="00B54CC3"/>
    <w:rsid w:val="00B54D26"/>
    <w:rsid w:val="00B55037"/>
    <w:rsid w:val="00B55D7A"/>
    <w:rsid w:val="00B57F97"/>
    <w:rsid w:val="00B607F7"/>
    <w:rsid w:val="00B611CF"/>
    <w:rsid w:val="00B614B5"/>
    <w:rsid w:val="00B61621"/>
    <w:rsid w:val="00B61DC4"/>
    <w:rsid w:val="00B623F7"/>
    <w:rsid w:val="00B629D4"/>
    <w:rsid w:val="00B63F83"/>
    <w:rsid w:val="00B65E4C"/>
    <w:rsid w:val="00B66286"/>
    <w:rsid w:val="00B6668D"/>
    <w:rsid w:val="00B673D4"/>
    <w:rsid w:val="00B70E91"/>
    <w:rsid w:val="00B7253D"/>
    <w:rsid w:val="00B7257C"/>
    <w:rsid w:val="00B72D27"/>
    <w:rsid w:val="00B72FDD"/>
    <w:rsid w:val="00B73A66"/>
    <w:rsid w:val="00B73D0E"/>
    <w:rsid w:val="00B77BCE"/>
    <w:rsid w:val="00B82386"/>
    <w:rsid w:val="00B835D8"/>
    <w:rsid w:val="00B852B4"/>
    <w:rsid w:val="00B85449"/>
    <w:rsid w:val="00B85482"/>
    <w:rsid w:val="00B867CF"/>
    <w:rsid w:val="00B86A4F"/>
    <w:rsid w:val="00B86EE7"/>
    <w:rsid w:val="00B86F64"/>
    <w:rsid w:val="00B87435"/>
    <w:rsid w:val="00B9030F"/>
    <w:rsid w:val="00B905EB"/>
    <w:rsid w:val="00B92688"/>
    <w:rsid w:val="00B93266"/>
    <w:rsid w:val="00B93B7A"/>
    <w:rsid w:val="00B948B5"/>
    <w:rsid w:val="00B96612"/>
    <w:rsid w:val="00B969D6"/>
    <w:rsid w:val="00B96EAF"/>
    <w:rsid w:val="00B9727B"/>
    <w:rsid w:val="00B97B6F"/>
    <w:rsid w:val="00BA130A"/>
    <w:rsid w:val="00BA168A"/>
    <w:rsid w:val="00BA2046"/>
    <w:rsid w:val="00BA3EB6"/>
    <w:rsid w:val="00BA4AB9"/>
    <w:rsid w:val="00BA4B47"/>
    <w:rsid w:val="00BA5042"/>
    <w:rsid w:val="00BA5B7C"/>
    <w:rsid w:val="00BA6925"/>
    <w:rsid w:val="00BA72A5"/>
    <w:rsid w:val="00BB2D45"/>
    <w:rsid w:val="00BB31D8"/>
    <w:rsid w:val="00BB3576"/>
    <w:rsid w:val="00BB3BFB"/>
    <w:rsid w:val="00BB586C"/>
    <w:rsid w:val="00BB61DD"/>
    <w:rsid w:val="00BC16F5"/>
    <w:rsid w:val="00BC25C3"/>
    <w:rsid w:val="00BC2B52"/>
    <w:rsid w:val="00BC3480"/>
    <w:rsid w:val="00BC4D8A"/>
    <w:rsid w:val="00BC4E90"/>
    <w:rsid w:val="00BC587D"/>
    <w:rsid w:val="00BC6B55"/>
    <w:rsid w:val="00BC7188"/>
    <w:rsid w:val="00BD0312"/>
    <w:rsid w:val="00BD1A34"/>
    <w:rsid w:val="00BD1EC3"/>
    <w:rsid w:val="00BD263C"/>
    <w:rsid w:val="00BD3EFF"/>
    <w:rsid w:val="00BD4003"/>
    <w:rsid w:val="00BD4BC3"/>
    <w:rsid w:val="00BD51A1"/>
    <w:rsid w:val="00BD715D"/>
    <w:rsid w:val="00BD74CA"/>
    <w:rsid w:val="00BE15E4"/>
    <w:rsid w:val="00BE17B6"/>
    <w:rsid w:val="00BE1B6F"/>
    <w:rsid w:val="00BE2677"/>
    <w:rsid w:val="00BE2FC3"/>
    <w:rsid w:val="00BE48A8"/>
    <w:rsid w:val="00BE5903"/>
    <w:rsid w:val="00BE62FB"/>
    <w:rsid w:val="00BE6368"/>
    <w:rsid w:val="00BE6CB8"/>
    <w:rsid w:val="00BF2CC8"/>
    <w:rsid w:val="00BF2E7F"/>
    <w:rsid w:val="00BF323F"/>
    <w:rsid w:val="00BF4847"/>
    <w:rsid w:val="00BF48D4"/>
    <w:rsid w:val="00BF62C5"/>
    <w:rsid w:val="00C01391"/>
    <w:rsid w:val="00C02610"/>
    <w:rsid w:val="00C02EF8"/>
    <w:rsid w:val="00C02FAB"/>
    <w:rsid w:val="00C03221"/>
    <w:rsid w:val="00C04127"/>
    <w:rsid w:val="00C04641"/>
    <w:rsid w:val="00C04A00"/>
    <w:rsid w:val="00C06858"/>
    <w:rsid w:val="00C071BC"/>
    <w:rsid w:val="00C1093B"/>
    <w:rsid w:val="00C1188E"/>
    <w:rsid w:val="00C11BC6"/>
    <w:rsid w:val="00C13165"/>
    <w:rsid w:val="00C13D0E"/>
    <w:rsid w:val="00C13FA1"/>
    <w:rsid w:val="00C14C25"/>
    <w:rsid w:val="00C14E11"/>
    <w:rsid w:val="00C1617D"/>
    <w:rsid w:val="00C17C11"/>
    <w:rsid w:val="00C17EAF"/>
    <w:rsid w:val="00C20F0A"/>
    <w:rsid w:val="00C215CC"/>
    <w:rsid w:val="00C22898"/>
    <w:rsid w:val="00C2358C"/>
    <w:rsid w:val="00C23AF9"/>
    <w:rsid w:val="00C32547"/>
    <w:rsid w:val="00C33905"/>
    <w:rsid w:val="00C34BE0"/>
    <w:rsid w:val="00C34D3F"/>
    <w:rsid w:val="00C3634F"/>
    <w:rsid w:val="00C363E9"/>
    <w:rsid w:val="00C3651A"/>
    <w:rsid w:val="00C36999"/>
    <w:rsid w:val="00C36D14"/>
    <w:rsid w:val="00C37DBC"/>
    <w:rsid w:val="00C40BEF"/>
    <w:rsid w:val="00C40C2E"/>
    <w:rsid w:val="00C434BC"/>
    <w:rsid w:val="00C43524"/>
    <w:rsid w:val="00C436A8"/>
    <w:rsid w:val="00C44199"/>
    <w:rsid w:val="00C46013"/>
    <w:rsid w:val="00C51BDE"/>
    <w:rsid w:val="00C52541"/>
    <w:rsid w:val="00C526CC"/>
    <w:rsid w:val="00C54E0A"/>
    <w:rsid w:val="00C5546A"/>
    <w:rsid w:val="00C56E51"/>
    <w:rsid w:val="00C57638"/>
    <w:rsid w:val="00C608B4"/>
    <w:rsid w:val="00C664CD"/>
    <w:rsid w:val="00C66C07"/>
    <w:rsid w:val="00C677D9"/>
    <w:rsid w:val="00C70118"/>
    <w:rsid w:val="00C71EC2"/>
    <w:rsid w:val="00C72B4D"/>
    <w:rsid w:val="00C73FA2"/>
    <w:rsid w:val="00C74583"/>
    <w:rsid w:val="00C75149"/>
    <w:rsid w:val="00C766A9"/>
    <w:rsid w:val="00C766BB"/>
    <w:rsid w:val="00C77141"/>
    <w:rsid w:val="00C77B5D"/>
    <w:rsid w:val="00C80303"/>
    <w:rsid w:val="00C8062B"/>
    <w:rsid w:val="00C81E98"/>
    <w:rsid w:val="00C81F19"/>
    <w:rsid w:val="00C825A4"/>
    <w:rsid w:val="00C84FEF"/>
    <w:rsid w:val="00C85733"/>
    <w:rsid w:val="00C910B2"/>
    <w:rsid w:val="00C91DDD"/>
    <w:rsid w:val="00C92767"/>
    <w:rsid w:val="00C934B5"/>
    <w:rsid w:val="00C94B31"/>
    <w:rsid w:val="00C97520"/>
    <w:rsid w:val="00C977B5"/>
    <w:rsid w:val="00C978A1"/>
    <w:rsid w:val="00C97E8E"/>
    <w:rsid w:val="00CA0B7F"/>
    <w:rsid w:val="00CA219A"/>
    <w:rsid w:val="00CA23E9"/>
    <w:rsid w:val="00CA2CDD"/>
    <w:rsid w:val="00CA4A06"/>
    <w:rsid w:val="00CA4AFF"/>
    <w:rsid w:val="00CA4B0A"/>
    <w:rsid w:val="00CA523D"/>
    <w:rsid w:val="00CA5668"/>
    <w:rsid w:val="00CA5C7F"/>
    <w:rsid w:val="00CA5E9A"/>
    <w:rsid w:val="00CA650F"/>
    <w:rsid w:val="00CB028A"/>
    <w:rsid w:val="00CB0803"/>
    <w:rsid w:val="00CB0D82"/>
    <w:rsid w:val="00CB3A15"/>
    <w:rsid w:val="00CB40EA"/>
    <w:rsid w:val="00CB49B3"/>
    <w:rsid w:val="00CB4E87"/>
    <w:rsid w:val="00CB724B"/>
    <w:rsid w:val="00CB7E75"/>
    <w:rsid w:val="00CC0F30"/>
    <w:rsid w:val="00CC1F40"/>
    <w:rsid w:val="00CC25F0"/>
    <w:rsid w:val="00CC2AB5"/>
    <w:rsid w:val="00CC3C17"/>
    <w:rsid w:val="00CC42E3"/>
    <w:rsid w:val="00CC44EA"/>
    <w:rsid w:val="00CC55B4"/>
    <w:rsid w:val="00CC66BA"/>
    <w:rsid w:val="00CD0DAC"/>
    <w:rsid w:val="00CD17A2"/>
    <w:rsid w:val="00CD1ACB"/>
    <w:rsid w:val="00CD254D"/>
    <w:rsid w:val="00CD2A56"/>
    <w:rsid w:val="00CD2B0D"/>
    <w:rsid w:val="00CD2F36"/>
    <w:rsid w:val="00CD4230"/>
    <w:rsid w:val="00CD5E21"/>
    <w:rsid w:val="00CD6A11"/>
    <w:rsid w:val="00CD6CD3"/>
    <w:rsid w:val="00CD759F"/>
    <w:rsid w:val="00CE09F6"/>
    <w:rsid w:val="00CE1926"/>
    <w:rsid w:val="00CE1EA1"/>
    <w:rsid w:val="00CE38FC"/>
    <w:rsid w:val="00CE3DB1"/>
    <w:rsid w:val="00CE3F4F"/>
    <w:rsid w:val="00CE4EC9"/>
    <w:rsid w:val="00CE6854"/>
    <w:rsid w:val="00CE6E4C"/>
    <w:rsid w:val="00CE7089"/>
    <w:rsid w:val="00CE7108"/>
    <w:rsid w:val="00CE7C26"/>
    <w:rsid w:val="00CE7FC1"/>
    <w:rsid w:val="00CF0D4C"/>
    <w:rsid w:val="00CF12A7"/>
    <w:rsid w:val="00CF2F18"/>
    <w:rsid w:val="00CF6C8A"/>
    <w:rsid w:val="00CF7581"/>
    <w:rsid w:val="00CF7F22"/>
    <w:rsid w:val="00D00316"/>
    <w:rsid w:val="00D003D5"/>
    <w:rsid w:val="00D01ABB"/>
    <w:rsid w:val="00D040A2"/>
    <w:rsid w:val="00D0502A"/>
    <w:rsid w:val="00D057E2"/>
    <w:rsid w:val="00D05C62"/>
    <w:rsid w:val="00D05F68"/>
    <w:rsid w:val="00D067A7"/>
    <w:rsid w:val="00D07788"/>
    <w:rsid w:val="00D10219"/>
    <w:rsid w:val="00D11E67"/>
    <w:rsid w:val="00D123FC"/>
    <w:rsid w:val="00D12E14"/>
    <w:rsid w:val="00D14312"/>
    <w:rsid w:val="00D16839"/>
    <w:rsid w:val="00D20222"/>
    <w:rsid w:val="00D22A42"/>
    <w:rsid w:val="00D238BC"/>
    <w:rsid w:val="00D24500"/>
    <w:rsid w:val="00D245A7"/>
    <w:rsid w:val="00D254F8"/>
    <w:rsid w:val="00D26DD2"/>
    <w:rsid w:val="00D2724A"/>
    <w:rsid w:val="00D27E04"/>
    <w:rsid w:val="00D3012C"/>
    <w:rsid w:val="00D30250"/>
    <w:rsid w:val="00D324A5"/>
    <w:rsid w:val="00D336C9"/>
    <w:rsid w:val="00D34454"/>
    <w:rsid w:val="00D356DA"/>
    <w:rsid w:val="00D36144"/>
    <w:rsid w:val="00D37E43"/>
    <w:rsid w:val="00D40485"/>
    <w:rsid w:val="00D40577"/>
    <w:rsid w:val="00D414AF"/>
    <w:rsid w:val="00D418AF"/>
    <w:rsid w:val="00D41DD0"/>
    <w:rsid w:val="00D4218C"/>
    <w:rsid w:val="00D45432"/>
    <w:rsid w:val="00D45F49"/>
    <w:rsid w:val="00D46124"/>
    <w:rsid w:val="00D46781"/>
    <w:rsid w:val="00D468B3"/>
    <w:rsid w:val="00D475E6"/>
    <w:rsid w:val="00D504AD"/>
    <w:rsid w:val="00D50E22"/>
    <w:rsid w:val="00D52B3E"/>
    <w:rsid w:val="00D5308B"/>
    <w:rsid w:val="00D5457D"/>
    <w:rsid w:val="00D5507C"/>
    <w:rsid w:val="00D558DA"/>
    <w:rsid w:val="00D57661"/>
    <w:rsid w:val="00D57AF4"/>
    <w:rsid w:val="00D61CC2"/>
    <w:rsid w:val="00D62009"/>
    <w:rsid w:val="00D6375F"/>
    <w:rsid w:val="00D63790"/>
    <w:rsid w:val="00D6380E"/>
    <w:rsid w:val="00D644FB"/>
    <w:rsid w:val="00D64DBE"/>
    <w:rsid w:val="00D65328"/>
    <w:rsid w:val="00D70FF2"/>
    <w:rsid w:val="00D71771"/>
    <w:rsid w:val="00D725EA"/>
    <w:rsid w:val="00D725EE"/>
    <w:rsid w:val="00D72CD9"/>
    <w:rsid w:val="00D73F3C"/>
    <w:rsid w:val="00D757F5"/>
    <w:rsid w:val="00D7645C"/>
    <w:rsid w:val="00D764A5"/>
    <w:rsid w:val="00D76BCE"/>
    <w:rsid w:val="00D80230"/>
    <w:rsid w:val="00D8034A"/>
    <w:rsid w:val="00D80D52"/>
    <w:rsid w:val="00D818C0"/>
    <w:rsid w:val="00D81C41"/>
    <w:rsid w:val="00D81D86"/>
    <w:rsid w:val="00D82278"/>
    <w:rsid w:val="00D83091"/>
    <w:rsid w:val="00D83601"/>
    <w:rsid w:val="00D84130"/>
    <w:rsid w:val="00D85C50"/>
    <w:rsid w:val="00D87211"/>
    <w:rsid w:val="00D87AA1"/>
    <w:rsid w:val="00D90A44"/>
    <w:rsid w:val="00D91362"/>
    <w:rsid w:val="00D91A6B"/>
    <w:rsid w:val="00D91D56"/>
    <w:rsid w:val="00D91D93"/>
    <w:rsid w:val="00D93326"/>
    <w:rsid w:val="00D936D9"/>
    <w:rsid w:val="00D93B2E"/>
    <w:rsid w:val="00D94290"/>
    <w:rsid w:val="00D95783"/>
    <w:rsid w:val="00D959C3"/>
    <w:rsid w:val="00D95EA5"/>
    <w:rsid w:val="00D961BB"/>
    <w:rsid w:val="00D9769B"/>
    <w:rsid w:val="00DA0726"/>
    <w:rsid w:val="00DA07B1"/>
    <w:rsid w:val="00DA1301"/>
    <w:rsid w:val="00DA14FC"/>
    <w:rsid w:val="00DA296F"/>
    <w:rsid w:val="00DA29C0"/>
    <w:rsid w:val="00DA29D0"/>
    <w:rsid w:val="00DA5124"/>
    <w:rsid w:val="00DA57A8"/>
    <w:rsid w:val="00DA5AC8"/>
    <w:rsid w:val="00DA6DE1"/>
    <w:rsid w:val="00DB13F3"/>
    <w:rsid w:val="00DB164F"/>
    <w:rsid w:val="00DB2407"/>
    <w:rsid w:val="00DB26D6"/>
    <w:rsid w:val="00DB3BC5"/>
    <w:rsid w:val="00DB6BBC"/>
    <w:rsid w:val="00DB74C3"/>
    <w:rsid w:val="00DB7A1B"/>
    <w:rsid w:val="00DC066E"/>
    <w:rsid w:val="00DC1222"/>
    <w:rsid w:val="00DC193F"/>
    <w:rsid w:val="00DC27DC"/>
    <w:rsid w:val="00DC341E"/>
    <w:rsid w:val="00DC4174"/>
    <w:rsid w:val="00DC4CDD"/>
    <w:rsid w:val="00DC532A"/>
    <w:rsid w:val="00DC5ECF"/>
    <w:rsid w:val="00DC6BE1"/>
    <w:rsid w:val="00DC748E"/>
    <w:rsid w:val="00DC79F8"/>
    <w:rsid w:val="00DD059E"/>
    <w:rsid w:val="00DD06C4"/>
    <w:rsid w:val="00DD0E8F"/>
    <w:rsid w:val="00DD1926"/>
    <w:rsid w:val="00DD2736"/>
    <w:rsid w:val="00DD37EC"/>
    <w:rsid w:val="00DD45E1"/>
    <w:rsid w:val="00DD4FBF"/>
    <w:rsid w:val="00DD68AA"/>
    <w:rsid w:val="00DE0C6C"/>
    <w:rsid w:val="00DE0DBC"/>
    <w:rsid w:val="00DE1FA7"/>
    <w:rsid w:val="00DE20C8"/>
    <w:rsid w:val="00DE225E"/>
    <w:rsid w:val="00DE2860"/>
    <w:rsid w:val="00DE2873"/>
    <w:rsid w:val="00DE2F0B"/>
    <w:rsid w:val="00DE3169"/>
    <w:rsid w:val="00DE3968"/>
    <w:rsid w:val="00DE4F71"/>
    <w:rsid w:val="00DE5743"/>
    <w:rsid w:val="00DE5D65"/>
    <w:rsid w:val="00DE7971"/>
    <w:rsid w:val="00DE7B1A"/>
    <w:rsid w:val="00DF0BF5"/>
    <w:rsid w:val="00DF1907"/>
    <w:rsid w:val="00DF271C"/>
    <w:rsid w:val="00DF2BBA"/>
    <w:rsid w:val="00DF557C"/>
    <w:rsid w:val="00DF5590"/>
    <w:rsid w:val="00DF6167"/>
    <w:rsid w:val="00DF6182"/>
    <w:rsid w:val="00DF6E39"/>
    <w:rsid w:val="00DF70F4"/>
    <w:rsid w:val="00DF7389"/>
    <w:rsid w:val="00E00244"/>
    <w:rsid w:val="00E0036D"/>
    <w:rsid w:val="00E016FD"/>
    <w:rsid w:val="00E01819"/>
    <w:rsid w:val="00E01DB8"/>
    <w:rsid w:val="00E01FED"/>
    <w:rsid w:val="00E0296D"/>
    <w:rsid w:val="00E03036"/>
    <w:rsid w:val="00E03DCE"/>
    <w:rsid w:val="00E045FF"/>
    <w:rsid w:val="00E0460A"/>
    <w:rsid w:val="00E04D71"/>
    <w:rsid w:val="00E06138"/>
    <w:rsid w:val="00E06427"/>
    <w:rsid w:val="00E068F5"/>
    <w:rsid w:val="00E07937"/>
    <w:rsid w:val="00E11EF0"/>
    <w:rsid w:val="00E12230"/>
    <w:rsid w:val="00E1361A"/>
    <w:rsid w:val="00E1410D"/>
    <w:rsid w:val="00E142C8"/>
    <w:rsid w:val="00E15948"/>
    <w:rsid w:val="00E15C8A"/>
    <w:rsid w:val="00E17676"/>
    <w:rsid w:val="00E21270"/>
    <w:rsid w:val="00E21471"/>
    <w:rsid w:val="00E21538"/>
    <w:rsid w:val="00E23421"/>
    <w:rsid w:val="00E23DD2"/>
    <w:rsid w:val="00E23EE3"/>
    <w:rsid w:val="00E248CD"/>
    <w:rsid w:val="00E25ACD"/>
    <w:rsid w:val="00E277C0"/>
    <w:rsid w:val="00E30104"/>
    <w:rsid w:val="00E30C62"/>
    <w:rsid w:val="00E31747"/>
    <w:rsid w:val="00E32060"/>
    <w:rsid w:val="00E322BC"/>
    <w:rsid w:val="00E32D68"/>
    <w:rsid w:val="00E32F1B"/>
    <w:rsid w:val="00E33979"/>
    <w:rsid w:val="00E34640"/>
    <w:rsid w:val="00E347F3"/>
    <w:rsid w:val="00E37205"/>
    <w:rsid w:val="00E40B1B"/>
    <w:rsid w:val="00E41215"/>
    <w:rsid w:val="00E439A2"/>
    <w:rsid w:val="00E43A4B"/>
    <w:rsid w:val="00E44233"/>
    <w:rsid w:val="00E4486E"/>
    <w:rsid w:val="00E453BF"/>
    <w:rsid w:val="00E465F9"/>
    <w:rsid w:val="00E47ABA"/>
    <w:rsid w:val="00E5179A"/>
    <w:rsid w:val="00E51AAA"/>
    <w:rsid w:val="00E51B72"/>
    <w:rsid w:val="00E52C55"/>
    <w:rsid w:val="00E535BA"/>
    <w:rsid w:val="00E53F97"/>
    <w:rsid w:val="00E54575"/>
    <w:rsid w:val="00E55689"/>
    <w:rsid w:val="00E55947"/>
    <w:rsid w:val="00E55A5E"/>
    <w:rsid w:val="00E55B3A"/>
    <w:rsid w:val="00E55B9E"/>
    <w:rsid w:val="00E56329"/>
    <w:rsid w:val="00E57C29"/>
    <w:rsid w:val="00E61CE2"/>
    <w:rsid w:val="00E63749"/>
    <w:rsid w:val="00E64D5C"/>
    <w:rsid w:val="00E65664"/>
    <w:rsid w:val="00E658CC"/>
    <w:rsid w:val="00E65C5D"/>
    <w:rsid w:val="00E65CE7"/>
    <w:rsid w:val="00E6728B"/>
    <w:rsid w:val="00E67BC7"/>
    <w:rsid w:val="00E67EAE"/>
    <w:rsid w:val="00E70B67"/>
    <w:rsid w:val="00E70C62"/>
    <w:rsid w:val="00E7214D"/>
    <w:rsid w:val="00E72F20"/>
    <w:rsid w:val="00E73FB6"/>
    <w:rsid w:val="00E75C91"/>
    <w:rsid w:val="00E75E05"/>
    <w:rsid w:val="00E76D84"/>
    <w:rsid w:val="00E77352"/>
    <w:rsid w:val="00E805D9"/>
    <w:rsid w:val="00E809DD"/>
    <w:rsid w:val="00E81604"/>
    <w:rsid w:val="00E8333C"/>
    <w:rsid w:val="00E83CFE"/>
    <w:rsid w:val="00E83D89"/>
    <w:rsid w:val="00E84C19"/>
    <w:rsid w:val="00E85F3F"/>
    <w:rsid w:val="00E869F5"/>
    <w:rsid w:val="00E873CE"/>
    <w:rsid w:val="00E87DE6"/>
    <w:rsid w:val="00E905A2"/>
    <w:rsid w:val="00E91746"/>
    <w:rsid w:val="00E92A49"/>
    <w:rsid w:val="00E9326A"/>
    <w:rsid w:val="00E93282"/>
    <w:rsid w:val="00E93498"/>
    <w:rsid w:val="00E94904"/>
    <w:rsid w:val="00E9612A"/>
    <w:rsid w:val="00E97721"/>
    <w:rsid w:val="00EA037E"/>
    <w:rsid w:val="00EA1E34"/>
    <w:rsid w:val="00EA1E98"/>
    <w:rsid w:val="00EA270E"/>
    <w:rsid w:val="00EA2C8A"/>
    <w:rsid w:val="00EA2E28"/>
    <w:rsid w:val="00EA3A04"/>
    <w:rsid w:val="00EA3CC3"/>
    <w:rsid w:val="00EA44FF"/>
    <w:rsid w:val="00EA51B8"/>
    <w:rsid w:val="00EA7040"/>
    <w:rsid w:val="00EB008A"/>
    <w:rsid w:val="00EB080E"/>
    <w:rsid w:val="00EB10A6"/>
    <w:rsid w:val="00EB2900"/>
    <w:rsid w:val="00EB3379"/>
    <w:rsid w:val="00EB3CFE"/>
    <w:rsid w:val="00EB5203"/>
    <w:rsid w:val="00EB60EF"/>
    <w:rsid w:val="00EB6669"/>
    <w:rsid w:val="00EB6A8C"/>
    <w:rsid w:val="00EB6BAC"/>
    <w:rsid w:val="00EB6CFA"/>
    <w:rsid w:val="00EB700D"/>
    <w:rsid w:val="00EB782C"/>
    <w:rsid w:val="00EC0351"/>
    <w:rsid w:val="00EC0B98"/>
    <w:rsid w:val="00EC1F19"/>
    <w:rsid w:val="00EC51C1"/>
    <w:rsid w:val="00EC51FE"/>
    <w:rsid w:val="00EC5312"/>
    <w:rsid w:val="00EC5433"/>
    <w:rsid w:val="00EC5EB5"/>
    <w:rsid w:val="00EC5F5A"/>
    <w:rsid w:val="00EC66F2"/>
    <w:rsid w:val="00EC6D95"/>
    <w:rsid w:val="00EC7101"/>
    <w:rsid w:val="00EC7963"/>
    <w:rsid w:val="00ED0F92"/>
    <w:rsid w:val="00ED1165"/>
    <w:rsid w:val="00ED1313"/>
    <w:rsid w:val="00ED1CAB"/>
    <w:rsid w:val="00ED2EDC"/>
    <w:rsid w:val="00ED2F02"/>
    <w:rsid w:val="00ED45C0"/>
    <w:rsid w:val="00ED614F"/>
    <w:rsid w:val="00EE0DAF"/>
    <w:rsid w:val="00EE1F3F"/>
    <w:rsid w:val="00EE2005"/>
    <w:rsid w:val="00EE26F8"/>
    <w:rsid w:val="00EE3307"/>
    <w:rsid w:val="00EE4F58"/>
    <w:rsid w:val="00EE63EE"/>
    <w:rsid w:val="00EE7E7E"/>
    <w:rsid w:val="00EF0206"/>
    <w:rsid w:val="00EF0765"/>
    <w:rsid w:val="00EF0C04"/>
    <w:rsid w:val="00EF14C4"/>
    <w:rsid w:val="00EF2AA0"/>
    <w:rsid w:val="00EF2CDD"/>
    <w:rsid w:val="00EF32F8"/>
    <w:rsid w:val="00EF39F5"/>
    <w:rsid w:val="00EF427C"/>
    <w:rsid w:val="00EF4F95"/>
    <w:rsid w:val="00EF5594"/>
    <w:rsid w:val="00EF573D"/>
    <w:rsid w:val="00EF7647"/>
    <w:rsid w:val="00EF78B3"/>
    <w:rsid w:val="00F00D1A"/>
    <w:rsid w:val="00F00EF4"/>
    <w:rsid w:val="00F011A2"/>
    <w:rsid w:val="00F0130A"/>
    <w:rsid w:val="00F01B2C"/>
    <w:rsid w:val="00F02EE9"/>
    <w:rsid w:val="00F03482"/>
    <w:rsid w:val="00F05BF2"/>
    <w:rsid w:val="00F05FF4"/>
    <w:rsid w:val="00F0628C"/>
    <w:rsid w:val="00F0664C"/>
    <w:rsid w:val="00F0758A"/>
    <w:rsid w:val="00F11090"/>
    <w:rsid w:val="00F1147B"/>
    <w:rsid w:val="00F117F6"/>
    <w:rsid w:val="00F11C00"/>
    <w:rsid w:val="00F138CF"/>
    <w:rsid w:val="00F147BD"/>
    <w:rsid w:val="00F15686"/>
    <w:rsid w:val="00F1573D"/>
    <w:rsid w:val="00F16323"/>
    <w:rsid w:val="00F178D8"/>
    <w:rsid w:val="00F2050C"/>
    <w:rsid w:val="00F2080D"/>
    <w:rsid w:val="00F20FAC"/>
    <w:rsid w:val="00F212FD"/>
    <w:rsid w:val="00F225EC"/>
    <w:rsid w:val="00F236FC"/>
    <w:rsid w:val="00F24554"/>
    <w:rsid w:val="00F273EF"/>
    <w:rsid w:val="00F27A21"/>
    <w:rsid w:val="00F27D6B"/>
    <w:rsid w:val="00F31FE1"/>
    <w:rsid w:val="00F32010"/>
    <w:rsid w:val="00F331C4"/>
    <w:rsid w:val="00F335F5"/>
    <w:rsid w:val="00F339DD"/>
    <w:rsid w:val="00F33AF8"/>
    <w:rsid w:val="00F342DC"/>
    <w:rsid w:val="00F34A47"/>
    <w:rsid w:val="00F34F9A"/>
    <w:rsid w:val="00F350D3"/>
    <w:rsid w:val="00F3678F"/>
    <w:rsid w:val="00F37399"/>
    <w:rsid w:val="00F405B0"/>
    <w:rsid w:val="00F4291A"/>
    <w:rsid w:val="00F4297D"/>
    <w:rsid w:val="00F44818"/>
    <w:rsid w:val="00F450ED"/>
    <w:rsid w:val="00F46A39"/>
    <w:rsid w:val="00F46AF9"/>
    <w:rsid w:val="00F46DD9"/>
    <w:rsid w:val="00F46DE1"/>
    <w:rsid w:val="00F50010"/>
    <w:rsid w:val="00F513C7"/>
    <w:rsid w:val="00F5187A"/>
    <w:rsid w:val="00F51CCC"/>
    <w:rsid w:val="00F52B71"/>
    <w:rsid w:val="00F53E6F"/>
    <w:rsid w:val="00F54DDF"/>
    <w:rsid w:val="00F554F9"/>
    <w:rsid w:val="00F55755"/>
    <w:rsid w:val="00F56A50"/>
    <w:rsid w:val="00F57485"/>
    <w:rsid w:val="00F6077E"/>
    <w:rsid w:val="00F60932"/>
    <w:rsid w:val="00F61084"/>
    <w:rsid w:val="00F61E10"/>
    <w:rsid w:val="00F6296A"/>
    <w:rsid w:val="00F6297D"/>
    <w:rsid w:val="00F6522F"/>
    <w:rsid w:val="00F6585E"/>
    <w:rsid w:val="00F65DB6"/>
    <w:rsid w:val="00F66924"/>
    <w:rsid w:val="00F672F6"/>
    <w:rsid w:val="00F70D8E"/>
    <w:rsid w:val="00F7292E"/>
    <w:rsid w:val="00F76178"/>
    <w:rsid w:val="00F766CD"/>
    <w:rsid w:val="00F7732C"/>
    <w:rsid w:val="00F77983"/>
    <w:rsid w:val="00F80635"/>
    <w:rsid w:val="00F80C6A"/>
    <w:rsid w:val="00F83527"/>
    <w:rsid w:val="00F83CCD"/>
    <w:rsid w:val="00F85047"/>
    <w:rsid w:val="00F856F6"/>
    <w:rsid w:val="00F868C1"/>
    <w:rsid w:val="00F87145"/>
    <w:rsid w:val="00F872F4"/>
    <w:rsid w:val="00F87B89"/>
    <w:rsid w:val="00F90E1D"/>
    <w:rsid w:val="00F9149E"/>
    <w:rsid w:val="00F91593"/>
    <w:rsid w:val="00F91CBC"/>
    <w:rsid w:val="00F9254C"/>
    <w:rsid w:val="00F92CCE"/>
    <w:rsid w:val="00F933CD"/>
    <w:rsid w:val="00F93480"/>
    <w:rsid w:val="00F936A4"/>
    <w:rsid w:val="00F93ED8"/>
    <w:rsid w:val="00F93F5A"/>
    <w:rsid w:val="00F944A7"/>
    <w:rsid w:val="00F961D2"/>
    <w:rsid w:val="00F9652C"/>
    <w:rsid w:val="00F96592"/>
    <w:rsid w:val="00F97C9E"/>
    <w:rsid w:val="00FA20C3"/>
    <w:rsid w:val="00FA29B5"/>
    <w:rsid w:val="00FA3128"/>
    <w:rsid w:val="00FA3814"/>
    <w:rsid w:val="00FA38A0"/>
    <w:rsid w:val="00FA4216"/>
    <w:rsid w:val="00FA4F5A"/>
    <w:rsid w:val="00FA4FA1"/>
    <w:rsid w:val="00FA5A50"/>
    <w:rsid w:val="00FA6CDF"/>
    <w:rsid w:val="00FA6FC1"/>
    <w:rsid w:val="00FB05EE"/>
    <w:rsid w:val="00FB0E42"/>
    <w:rsid w:val="00FB12F4"/>
    <w:rsid w:val="00FB16BC"/>
    <w:rsid w:val="00FB1C1C"/>
    <w:rsid w:val="00FB4153"/>
    <w:rsid w:val="00FB5753"/>
    <w:rsid w:val="00FB5B31"/>
    <w:rsid w:val="00FB5C8C"/>
    <w:rsid w:val="00FB6CF3"/>
    <w:rsid w:val="00FC05F6"/>
    <w:rsid w:val="00FC0AA1"/>
    <w:rsid w:val="00FC20AA"/>
    <w:rsid w:val="00FC29B6"/>
    <w:rsid w:val="00FC4168"/>
    <w:rsid w:val="00FC455A"/>
    <w:rsid w:val="00FC461B"/>
    <w:rsid w:val="00FC49D6"/>
    <w:rsid w:val="00FD005C"/>
    <w:rsid w:val="00FD0AE3"/>
    <w:rsid w:val="00FD1663"/>
    <w:rsid w:val="00FD3A48"/>
    <w:rsid w:val="00FD7777"/>
    <w:rsid w:val="00FE01D5"/>
    <w:rsid w:val="00FE298C"/>
    <w:rsid w:val="00FE3CDD"/>
    <w:rsid w:val="00FE4243"/>
    <w:rsid w:val="00FE457B"/>
    <w:rsid w:val="00FE5D79"/>
    <w:rsid w:val="00FE5E83"/>
    <w:rsid w:val="00FE7F1E"/>
    <w:rsid w:val="00FF0041"/>
    <w:rsid w:val="00FF078E"/>
    <w:rsid w:val="00FF120A"/>
    <w:rsid w:val="00FF3972"/>
    <w:rsid w:val="00FF3A71"/>
    <w:rsid w:val="00FF3AC2"/>
    <w:rsid w:val="00FF3C75"/>
    <w:rsid w:val="00FF3EDD"/>
    <w:rsid w:val="00FF45B2"/>
    <w:rsid w:val="00FF4D18"/>
    <w:rsid w:val="01005BA0"/>
    <w:rsid w:val="010F61E8"/>
    <w:rsid w:val="010F7192"/>
    <w:rsid w:val="01135727"/>
    <w:rsid w:val="011B29A3"/>
    <w:rsid w:val="011D1F1F"/>
    <w:rsid w:val="011F778F"/>
    <w:rsid w:val="0124154D"/>
    <w:rsid w:val="013438B4"/>
    <w:rsid w:val="013A6C60"/>
    <w:rsid w:val="013B0DE8"/>
    <w:rsid w:val="013D5CC9"/>
    <w:rsid w:val="01470FBE"/>
    <w:rsid w:val="01471042"/>
    <w:rsid w:val="01567706"/>
    <w:rsid w:val="01611E8E"/>
    <w:rsid w:val="01616968"/>
    <w:rsid w:val="01761FB5"/>
    <w:rsid w:val="017A479C"/>
    <w:rsid w:val="017C21FC"/>
    <w:rsid w:val="018312D7"/>
    <w:rsid w:val="01864E43"/>
    <w:rsid w:val="018E4FA5"/>
    <w:rsid w:val="0192083C"/>
    <w:rsid w:val="01926238"/>
    <w:rsid w:val="019B0255"/>
    <w:rsid w:val="01A7443B"/>
    <w:rsid w:val="01AD1661"/>
    <w:rsid w:val="01B41C75"/>
    <w:rsid w:val="01C42B8B"/>
    <w:rsid w:val="01D97CA1"/>
    <w:rsid w:val="01DA1E97"/>
    <w:rsid w:val="01DB68A3"/>
    <w:rsid w:val="01E26EDE"/>
    <w:rsid w:val="01F3255A"/>
    <w:rsid w:val="01F64D8D"/>
    <w:rsid w:val="01FB45E6"/>
    <w:rsid w:val="02005B8D"/>
    <w:rsid w:val="0205112F"/>
    <w:rsid w:val="021270CD"/>
    <w:rsid w:val="02313187"/>
    <w:rsid w:val="023A3A3E"/>
    <w:rsid w:val="02410D41"/>
    <w:rsid w:val="024215D2"/>
    <w:rsid w:val="02485621"/>
    <w:rsid w:val="024C08E5"/>
    <w:rsid w:val="0250295F"/>
    <w:rsid w:val="02531A9C"/>
    <w:rsid w:val="025B5C8F"/>
    <w:rsid w:val="02676222"/>
    <w:rsid w:val="0272522A"/>
    <w:rsid w:val="02740361"/>
    <w:rsid w:val="0275387F"/>
    <w:rsid w:val="02756FA0"/>
    <w:rsid w:val="02795057"/>
    <w:rsid w:val="027A624D"/>
    <w:rsid w:val="02911013"/>
    <w:rsid w:val="02B635DD"/>
    <w:rsid w:val="02C0767C"/>
    <w:rsid w:val="02C75E30"/>
    <w:rsid w:val="02D66388"/>
    <w:rsid w:val="02ED3BBE"/>
    <w:rsid w:val="02EE19CF"/>
    <w:rsid w:val="02F012B3"/>
    <w:rsid w:val="02FB5D86"/>
    <w:rsid w:val="030019F2"/>
    <w:rsid w:val="03035452"/>
    <w:rsid w:val="030B61A0"/>
    <w:rsid w:val="030D2310"/>
    <w:rsid w:val="030D6614"/>
    <w:rsid w:val="03102EED"/>
    <w:rsid w:val="03170CF8"/>
    <w:rsid w:val="03287BB7"/>
    <w:rsid w:val="032B0208"/>
    <w:rsid w:val="032B06B6"/>
    <w:rsid w:val="03367E37"/>
    <w:rsid w:val="034B13BD"/>
    <w:rsid w:val="034C108A"/>
    <w:rsid w:val="03513D79"/>
    <w:rsid w:val="03517BB7"/>
    <w:rsid w:val="03532747"/>
    <w:rsid w:val="036200E4"/>
    <w:rsid w:val="036C0A09"/>
    <w:rsid w:val="03792FBB"/>
    <w:rsid w:val="037A6220"/>
    <w:rsid w:val="038267B0"/>
    <w:rsid w:val="03861EB9"/>
    <w:rsid w:val="03867FE8"/>
    <w:rsid w:val="039764C5"/>
    <w:rsid w:val="039946C2"/>
    <w:rsid w:val="03B357CC"/>
    <w:rsid w:val="03B65156"/>
    <w:rsid w:val="03C32A66"/>
    <w:rsid w:val="03C74493"/>
    <w:rsid w:val="03CB4A6A"/>
    <w:rsid w:val="03D94543"/>
    <w:rsid w:val="03FB628E"/>
    <w:rsid w:val="040062E5"/>
    <w:rsid w:val="040E20B1"/>
    <w:rsid w:val="04103175"/>
    <w:rsid w:val="04103C77"/>
    <w:rsid w:val="04116C1E"/>
    <w:rsid w:val="04152C57"/>
    <w:rsid w:val="04165405"/>
    <w:rsid w:val="0419410C"/>
    <w:rsid w:val="0419623F"/>
    <w:rsid w:val="043426DD"/>
    <w:rsid w:val="043E0D4B"/>
    <w:rsid w:val="0449423D"/>
    <w:rsid w:val="04566B4A"/>
    <w:rsid w:val="045D6691"/>
    <w:rsid w:val="045E16BF"/>
    <w:rsid w:val="04634ACA"/>
    <w:rsid w:val="046A4E3E"/>
    <w:rsid w:val="04755AFA"/>
    <w:rsid w:val="04844FC9"/>
    <w:rsid w:val="04870BA0"/>
    <w:rsid w:val="04882C77"/>
    <w:rsid w:val="04A703C5"/>
    <w:rsid w:val="04AF6C97"/>
    <w:rsid w:val="04B3421F"/>
    <w:rsid w:val="04BD5452"/>
    <w:rsid w:val="04D021FD"/>
    <w:rsid w:val="04D05C71"/>
    <w:rsid w:val="04D25CFC"/>
    <w:rsid w:val="04DE21B6"/>
    <w:rsid w:val="04DE2DBD"/>
    <w:rsid w:val="04ED1059"/>
    <w:rsid w:val="04ED4E91"/>
    <w:rsid w:val="04F000F0"/>
    <w:rsid w:val="05076729"/>
    <w:rsid w:val="05081848"/>
    <w:rsid w:val="050D08CE"/>
    <w:rsid w:val="05164F76"/>
    <w:rsid w:val="051B0CA5"/>
    <w:rsid w:val="051C157D"/>
    <w:rsid w:val="051E0720"/>
    <w:rsid w:val="05354648"/>
    <w:rsid w:val="05383F66"/>
    <w:rsid w:val="05440AA8"/>
    <w:rsid w:val="0544323B"/>
    <w:rsid w:val="05513711"/>
    <w:rsid w:val="05545CD4"/>
    <w:rsid w:val="0561251C"/>
    <w:rsid w:val="0564063A"/>
    <w:rsid w:val="056519BE"/>
    <w:rsid w:val="05665DC5"/>
    <w:rsid w:val="056A577C"/>
    <w:rsid w:val="057669DA"/>
    <w:rsid w:val="057B3055"/>
    <w:rsid w:val="057D647A"/>
    <w:rsid w:val="057E4231"/>
    <w:rsid w:val="058D6BA2"/>
    <w:rsid w:val="05936CED"/>
    <w:rsid w:val="059450C0"/>
    <w:rsid w:val="05952021"/>
    <w:rsid w:val="0599636B"/>
    <w:rsid w:val="05997635"/>
    <w:rsid w:val="05A40F35"/>
    <w:rsid w:val="05A576B2"/>
    <w:rsid w:val="05A717E2"/>
    <w:rsid w:val="05A72DE3"/>
    <w:rsid w:val="05BD6492"/>
    <w:rsid w:val="05BE581F"/>
    <w:rsid w:val="05D24EE8"/>
    <w:rsid w:val="05D52AD6"/>
    <w:rsid w:val="05D96ADE"/>
    <w:rsid w:val="05E1715E"/>
    <w:rsid w:val="05E80313"/>
    <w:rsid w:val="05EC1004"/>
    <w:rsid w:val="05F443CD"/>
    <w:rsid w:val="05FF2B23"/>
    <w:rsid w:val="06046B47"/>
    <w:rsid w:val="06073EB4"/>
    <w:rsid w:val="060A6A00"/>
    <w:rsid w:val="0610068A"/>
    <w:rsid w:val="061570E4"/>
    <w:rsid w:val="061D397D"/>
    <w:rsid w:val="06230B4D"/>
    <w:rsid w:val="062B53DB"/>
    <w:rsid w:val="062C45A0"/>
    <w:rsid w:val="06326B93"/>
    <w:rsid w:val="06353382"/>
    <w:rsid w:val="06356537"/>
    <w:rsid w:val="0645691F"/>
    <w:rsid w:val="0655469B"/>
    <w:rsid w:val="065C02C7"/>
    <w:rsid w:val="065C42FF"/>
    <w:rsid w:val="06640A42"/>
    <w:rsid w:val="066E2F6E"/>
    <w:rsid w:val="068B6C52"/>
    <w:rsid w:val="068C69FC"/>
    <w:rsid w:val="068D4D8C"/>
    <w:rsid w:val="068F5044"/>
    <w:rsid w:val="06900C85"/>
    <w:rsid w:val="06904476"/>
    <w:rsid w:val="069C7C92"/>
    <w:rsid w:val="06B076D6"/>
    <w:rsid w:val="06BC1347"/>
    <w:rsid w:val="06BD6F18"/>
    <w:rsid w:val="06BE1A2C"/>
    <w:rsid w:val="06BF1B73"/>
    <w:rsid w:val="06BF74C8"/>
    <w:rsid w:val="06C746AD"/>
    <w:rsid w:val="06D2293F"/>
    <w:rsid w:val="06D55262"/>
    <w:rsid w:val="06DE7D09"/>
    <w:rsid w:val="06DF3C89"/>
    <w:rsid w:val="06E26CE2"/>
    <w:rsid w:val="06E311C2"/>
    <w:rsid w:val="06E53933"/>
    <w:rsid w:val="06EA7598"/>
    <w:rsid w:val="06EC4264"/>
    <w:rsid w:val="0703428C"/>
    <w:rsid w:val="071048E2"/>
    <w:rsid w:val="071F2080"/>
    <w:rsid w:val="0724293A"/>
    <w:rsid w:val="0725099F"/>
    <w:rsid w:val="072B4811"/>
    <w:rsid w:val="07377148"/>
    <w:rsid w:val="074E70D0"/>
    <w:rsid w:val="07606EA3"/>
    <w:rsid w:val="0762618C"/>
    <w:rsid w:val="07756AFF"/>
    <w:rsid w:val="07765923"/>
    <w:rsid w:val="07772928"/>
    <w:rsid w:val="07850C35"/>
    <w:rsid w:val="07956673"/>
    <w:rsid w:val="07A24176"/>
    <w:rsid w:val="07B16DD7"/>
    <w:rsid w:val="07CB01FE"/>
    <w:rsid w:val="07D37C21"/>
    <w:rsid w:val="07DF5420"/>
    <w:rsid w:val="07E0523B"/>
    <w:rsid w:val="07F70633"/>
    <w:rsid w:val="07FB5014"/>
    <w:rsid w:val="07FF14F1"/>
    <w:rsid w:val="080212B4"/>
    <w:rsid w:val="080B5512"/>
    <w:rsid w:val="082C4724"/>
    <w:rsid w:val="082E03C2"/>
    <w:rsid w:val="08354651"/>
    <w:rsid w:val="08391C1F"/>
    <w:rsid w:val="08392C22"/>
    <w:rsid w:val="083C635C"/>
    <w:rsid w:val="08414F81"/>
    <w:rsid w:val="08453F99"/>
    <w:rsid w:val="084A2A46"/>
    <w:rsid w:val="084F36CA"/>
    <w:rsid w:val="0853153E"/>
    <w:rsid w:val="085F339E"/>
    <w:rsid w:val="08717357"/>
    <w:rsid w:val="0887047B"/>
    <w:rsid w:val="088D2465"/>
    <w:rsid w:val="089D3CFF"/>
    <w:rsid w:val="089E4829"/>
    <w:rsid w:val="08A17FCF"/>
    <w:rsid w:val="08A563CE"/>
    <w:rsid w:val="08B01656"/>
    <w:rsid w:val="08C73F50"/>
    <w:rsid w:val="08D31FBD"/>
    <w:rsid w:val="08D61770"/>
    <w:rsid w:val="08E14899"/>
    <w:rsid w:val="08E53D9E"/>
    <w:rsid w:val="08EE54E8"/>
    <w:rsid w:val="08EE5880"/>
    <w:rsid w:val="08EE5B60"/>
    <w:rsid w:val="08EF7436"/>
    <w:rsid w:val="08F57ACE"/>
    <w:rsid w:val="08F67107"/>
    <w:rsid w:val="08FB1FEF"/>
    <w:rsid w:val="0901157B"/>
    <w:rsid w:val="090A5709"/>
    <w:rsid w:val="09127136"/>
    <w:rsid w:val="0914279F"/>
    <w:rsid w:val="09170DB9"/>
    <w:rsid w:val="092C5A29"/>
    <w:rsid w:val="09467E45"/>
    <w:rsid w:val="09530E9C"/>
    <w:rsid w:val="096A716E"/>
    <w:rsid w:val="09746CB4"/>
    <w:rsid w:val="0978425B"/>
    <w:rsid w:val="09805F99"/>
    <w:rsid w:val="098122DA"/>
    <w:rsid w:val="09824F86"/>
    <w:rsid w:val="09964754"/>
    <w:rsid w:val="099802A0"/>
    <w:rsid w:val="09996EDC"/>
    <w:rsid w:val="09A17EE9"/>
    <w:rsid w:val="09A34311"/>
    <w:rsid w:val="09B51441"/>
    <w:rsid w:val="09BA6747"/>
    <w:rsid w:val="09BD56AA"/>
    <w:rsid w:val="09C12E5B"/>
    <w:rsid w:val="09C45CED"/>
    <w:rsid w:val="09D32EE6"/>
    <w:rsid w:val="09D418F0"/>
    <w:rsid w:val="09F14739"/>
    <w:rsid w:val="09F9539C"/>
    <w:rsid w:val="09FE29B2"/>
    <w:rsid w:val="0A075DA7"/>
    <w:rsid w:val="0A1908BE"/>
    <w:rsid w:val="0A1D4625"/>
    <w:rsid w:val="0A2239C5"/>
    <w:rsid w:val="0A2A12DA"/>
    <w:rsid w:val="0A352250"/>
    <w:rsid w:val="0A433092"/>
    <w:rsid w:val="0A4857BE"/>
    <w:rsid w:val="0A487597"/>
    <w:rsid w:val="0A643258"/>
    <w:rsid w:val="0A6F0E05"/>
    <w:rsid w:val="0A742A59"/>
    <w:rsid w:val="0A804DB9"/>
    <w:rsid w:val="0A895D3A"/>
    <w:rsid w:val="0A8A57DA"/>
    <w:rsid w:val="0A9F511C"/>
    <w:rsid w:val="0AA068F7"/>
    <w:rsid w:val="0AA26863"/>
    <w:rsid w:val="0ABA12FB"/>
    <w:rsid w:val="0AC25272"/>
    <w:rsid w:val="0AEE3DB1"/>
    <w:rsid w:val="0AFE694F"/>
    <w:rsid w:val="0B047CEA"/>
    <w:rsid w:val="0B1A7A24"/>
    <w:rsid w:val="0B1D73B9"/>
    <w:rsid w:val="0B2621C1"/>
    <w:rsid w:val="0B317E6D"/>
    <w:rsid w:val="0B386E0B"/>
    <w:rsid w:val="0B4134E6"/>
    <w:rsid w:val="0B445E0A"/>
    <w:rsid w:val="0B460761"/>
    <w:rsid w:val="0B4F3A37"/>
    <w:rsid w:val="0B5B2AF4"/>
    <w:rsid w:val="0B5D289D"/>
    <w:rsid w:val="0B5E22E7"/>
    <w:rsid w:val="0B610D6D"/>
    <w:rsid w:val="0B621324"/>
    <w:rsid w:val="0B6243DC"/>
    <w:rsid w:val="0B6C6955"/>
    <w:rsid w:val="0B6C6C4D"/>
    <w:rsid w:val="0B6D6042"/>
    <w:rsid w:val="0B7F2E39"/>
    <w:rsid w:val="0B907F82"/>
    <w:rsid w:val="0B9153D7"/>
    <w:rsid w:val="0B9B3BA8"/>
    <w:rsid w:val="0BA5293B"/>
    <w:rsid w:val="0BA72976"/>
    <w:rsid w:val="0BB04DC7"/>
    <w:rsid w:val="0BC03BCA"/>
    <w:rsid w:val="0BC54BF4"/>
    <w:rsid w:val="0BC950F7"/>
    <w:rsid w:val="0BCA6BE8"/>
    <w:rsid w:val="0BCF5CE4"/>
    <w:rsid w:val="0BE34556"/>
    <w:rsid w:val="0BE44727"/>
    <w:rsid w:val="0BE601F6"/>
    <w:rsid w:val="0BE60C10"/>
    <w:rsid w:val="0BEC6333"/>
    <w:rsid w:val="0BF3276B"/>
    <w:rsid w:val="0BF74DDA"/>
    <w:rsid w:val="0BF96B47"/>
    <w:rsid w:val="0C01739E"/>
    <w:rsid w:val="0C102910"/>
    <w:rsid w:val="0C126562"/>
    <w:rsid w:val="0C182FEF"/>
    <w:rsid w:val="0C1842C8"/>
    <w:rsid w:val="0C20287C"/>
    <w:rsid w:val="0C3630E8"/>
    <w:rsid w:val="0C397A82"/>
    <w:rsid w:val="0C3B5CDA"/>
    <w:rsid w:val="0C3B6624"/>
    <w:rsid w:val="0C420352"/>
    <w:rsid w:val="0C50295B"/>
    <w:rsid w:val="0C5F0B3E"/>
    <w:rsid w:val="0C6B31B0"/>
    <w:rsid w:val="0C6C26F3"/>
    <w:rsid w:val="0C725CF9"/>
    <w:rsid w:val="0C741E83"/>
    <w:rsid w:val="0C782286"/>
    <w:rsid w:val="0C796A49"/>
    <w:rsid w:val="0C842A47"/>
    <w:rsid w:val="0C8443FC"/>
    <w:rsid w:val="0C9A2F3A"/>
    <w:rsid w:val="0C9D535B"/>
    <w:rsid w:val="0CA14001"/>
    <w:rsid w:val="0CAD09F4"/>
    <w:rsid w:val="0CB9107D"/>
    <w:rsid w:val="0CBA604D"/>
    <w:rsid w:val="0CC11C27"/>
    <w:rsid w:val="0CC436E2"/>
    <w:rsid w:val="0CCC3A0C"/>
    <w:rsid w:val="0CD83C4D"/>
    <w:rsid w:val="0CD86353"/>
    <w:rsid w:val="0CDC5E58"/>
    <w:rsid w:val="0CE34C95"/>
    <w:rsid w:val="0CEB0F40"/>
    <w:rsid w:val="0CEB1914"/>
    <w:rsid w:val="0CFA5D4D"/>
    <w:rsid w:val="0CFE458C"/>
    <w:rsid w:val="0D08415B"/>
    <w:rsid w:val="0D090B0F"/>
    <w:rsid w:val="0D0B5381"/>
    <w:rsid w:val="0D0C69D2"/>
    <w:rsid w:val="0D0F4ED6"/>
    <w:rsid w:val="0D1A0496"/>
    <w:rsid w:val="0D22474E"/>
    <w:rsid w:val="0D227246"/>
    <w:rsid w:val="0D293CD4"/>
    <w:rsid w:val="0D455B66"/>
    <w:rsid w:val="0D4920FA"/>
    <w:rsid w:val="0D4A1D79"/>
    <w:rsid w:val="0D5C6F74"/>
    <w:rsid w:val="0D5D20E6"/>
    <w:rsid w:val="0D6446E0"/>
    <w:rsid w:val="0D6D2DA0"/>
    <w:rsid w:val="0D733F9E"/>
    <w:rsid w:val="0D8A137C"/>
    <w:rsid w:val="0D8F501C"/>
    <w:rsid w:val="0D9B5B63"/>
    <w:rsid w:val="0D9D16B5"/>
    <w:rsid w:val="0DA6474F"/>
    <w:rsid w:val="0DB64D42"/>
    <w:rsid w:val="0DC50100"/>
    <w:rsid w:val="0DD77EEC"/>
    <w:rsid w:val="0DD83969"/>
    <w:rsid w:val="0DDB6C04"/>
    <w:rsid w:val="0DDD2C4A"/>
    <w:rsid w:val="0DE07C3F"/>
    <w:rsid w:val="0DE10EF6"/>
    <w:rsid w:val="0DE51B31"/>
    <w:rsid w:val="0DEB4F29"/>
    <w:rsid w:val="0DEC1417"/>
    <w:rsid w:val="0DF71FF6"/>
    <w:rsid w:val="0DF94473"/>
    <w:rsid w:val="0DFD14FF"/>
    <w:rsid w:val="0E057EB6"/>
    <w:rsid w:val="0E073697"/>
    <w:rsid w:val="0E145A98"/>
    <w:rsid w:val="0E2475C6"/>
    <w:rsid w:val="0E346421"/>
    <w:rsid w:val="0E5620F9"/>
    <w:rsid w:val="0E6B6226"/>
    <w:rsid w:val="0E795373"/>
    <w:rsid w:val="0E7F49D0"/>
    <w:rsid w:val="0E8A359F"/>
    <w:rsid w:val="0E8D05C2"/>
    <w:rsid w:val="0EA016A0"/>
    <w:rsid w:val="0EAA4055"/>
    <w:rsid w:val="0EAA4222"/>
    <w:rsid w:val="0EB1743C"/>
    <w:rsid w:val="0ED92D64"/>
    <w:rsid w:val="0EE35FCE"/>
    <w:rsid w:val="0EF109D1"/>
    <w:rsid w:val="0EFF5127"/>
    <w:rsid w:val="0F022D96"/>
    <w:rsid w:val="0F08657B"/>
    <w:rsid w:val="0F097F59"/>
    <w:rsid w:val="0F0C143E"/>
    <w:rsid w:val="0F1B0A54"/>
    <w:rsid w:val="0F1B0C8A"/>
    <w:rsid w:val="0F277705"/>
    <w:rsid w:val="0F396880"/>
    <w:rsid w:val="0F3D7315"/>
    <w:rsid w:val="0F404B30"/>
    <w:rsid w:val="0F4D5A7F"/>
    <w:rsid w:val="0F505FAA"/>
    <w:rsid w:val="0F5117D6"/>
    <w:rsid w:val="0F531EF5"/>
    <w:rsid w:val="0F646CB0"/>
    <w:rsid w:val="0F670942"/>
    <w:rsid w:val="0F673048"/>
    <w:rsid w:val="0F6E2AAF"/>
    <w:rsid w:val="0F726762"/>
    <w:rsid w:val="0F751255"/>
    <w:rsid w:val="0F7A6771"/>
    <w:rsid w:val="0F7B2B10"/>
    <w:rsid w:val="0F81583C"/>
    <w:rsid w:val="0F916212"/>
    <w:rsid w:val="0F931B50"/>
    <w:rsid w:val="0F9C5147"/>
    <w:rsid w:val="0F9D17E7"/>
    <w:rsid w:val="0FA72B3F"/>
    <w:rsid w:val="0FAF18F9"/>
    <w:rsid w:val="0FB166FE"/>
    <w:rsid w:val="0FB57691"/>
    <w:rsid w:val="0FB70EE5"/>
    <w:rsid w:val="0FB73B78"/>
    <w:rsid w:val="0FBA39A6"/>
    <w:rsid w:val="0FBD087F"/>
    <w:rsid w:val="0FCA0FA6"/>
    <w:rsid w:val="0FD5539F"/>
    <w:rsid w:val="0FDD1FBD"/>
    <w:rsid w:val="0FDE19A5"/>
    <w:rsid w:val="0FF87334"/>
    <w:rsid w:val="10150A98"/>
    <w:rsid w:val="101D0290"/>
    <w:rsid w:val="101F6BA6"/>
    <w:rsid w:val="10224638"/>
    <w:rsid w:val="102B5EE0"/>
    <w:rsid w:val="102F0F79"/>
    <w:rsid w:val="1031323F"/>
    <w:rsid w:val="1050033F"/>
    <w:rsid w:val="105C75E2"/>
    <w:rsid w:val="105E1ABE"/>
    <w:rsid w:val="106270A8"/>
    <w:rsid w:val="10637A13"/>
    <w:rsid w:val="10641BF8"/>
    <w:rsid w:val="10645D0F"/>
    <w:rsid w:val="10707739"/>
    <w:rsid w:val="107B618C"/>
    <w:rsid w:val="107C7886"/>
    <w:rsid w:val="10913002"/>
    <w:rsid w:val="109153C7"/>
    <w:rsid w:val="10973F4D"/>
    <w:rsid w:val="109B310A"/>
    <w:rsid w:val="109C2CD2"/>
    <w:rsid w:val="109D4F22"/>
    <w:rsid w:val="109E320D"/>
    <w:rsid w:val="10AE05BA"/>
    <w:rsid w:val="10AF43AA"/>
    <w:rsid w:val="10B56E61"/>
    <w:rsid w:val="10BE2E9B"/>
    <w:rsid w:val="10C653B7"/>
    <w:rsid w:val="10C665A6"/>
    <w:rsid w:val="10C958FB"/>
    <w:rsid w:val="10CC729F"/>
    <w:rsid w:val="10CF3395"/>
    <w:rsid w:val="10D0706F"/>
    <w:rsid w:val="10D70A6D"/>
    <w:rsid w:val="10DF194B"/>
    <w:rsid w:val="10E07545"/>
    <w:rsid w:val="10EA1C1A"/>
    <w:rsid w:val="10F21619"/>
    <w:rsid w:val="10F40235"/>
    <w:rsid w:val="10F44B3E"/>
    <w:rsid w:val="10F55972"/>
    <w:rsid w:val="10FA11D4"/>
    <w:rsid w:val="10FA2754"/>
    <w:rsid w:val="10FC6FDE"/>
    <w:rsid w:val="11051528"/>
    <w:rsid w:val="110568AA"/>
    <w:rsid w:val="111A6706"/>
    <w:rsid w:val="111E4F92"/>
    <w:rsid w:val="111F52F1"/>
    <w:rsid w:val="112F1674"/>
    <w:rsid w:val="11432B94"/>
    <w:rsid w:val="114C5F8B"/>
    <w:rsid w:val="114D1EA4"/>
    <w:rsid w:val="11581BA1"/>
    <w:rsid w:val="1159730D"/>
    <w:rsid w:val="115B6D68"/>
    <w:rsid w:val="115F13E3"/>
    <w:rsid w:val="11662174"/>
    <w:rsid w:val="116B3928"/>
    <w:rsid w:val="1176347B"/>
    <w:rsid w:val="11795379"/>
    <w:rsid w:val="11860EF4"/>
    <w:rsid w:val="118778EB"/>
    <w:rsid w:val="118854D1"/>
    <w:rsid w:val="118C6C0C"/>
    <w:rsid w:val="119925F9"/>
    <w:rsid w:val="119B304C"/>
    <w:rsid w:val="11B24FF0"/>
    <w:rsid w:val="11BF4276"/>
    <w:rsid w:val="11C30862"/>
    <w:rsid w:val="11D94C8D"/>
    <w:rsid w:val="11E70D9E"/>
    <w:rsid w:val="11EA5056"/>
    <w:rsid w:val="11F508C3"/>
    <w:rsid w:val="11FA06F2"/>
    <w:rsid w:val="12134B40"/>
    <w:rsid w:val="121C2721"/>
    <w:rsid w:val="1224204E"/>
    <w:rsid w:val="122B2267"/>
    <w:rsid w:val="12305ED9"/>
    <w:rsid w:val="12346E41"/>
    <w:rsid w:val="123B4A59"/>
    <w:rsid w:val="123C4898"/>
    <w:rsid w:val="125667DF"/>
    <w:rsid w:val="12601162"/>
    <w:rsid w:val="12620FDB"/>
    <w:rsid w:val="126A1237"/>
    <w:rsid w:val="126B356A"/>
    <w:rsid w:val="126C3CAA"/>
    <w:rsid w:val="127D12A8"/>
    <w:rsid w:val="12853699"/>
    <w:rsid w:val="12902192"/>
    <w:rsid w:val="129309E4"/>
    <w:rsid w:val="12982E2A"/>
    <w:rsid w:val="129861A0"/>
    <w:rsid w:val="12A13C2B"/>
    <w:rsid w:val="12A45BA3"/>
    <w:rsid w:val="12B22AA2"/>
    <w:rsid w:val="12B35ED3"/>
    <w:rsid w:val="12B37354"/>
    <w:rsid w:val="12BA0F1B"/>
    <w:rsid w:val="12BB03C6"/>
    <w:rsid w:val="12C45056"/>
    <w:rsid w:val="12CE6031"/>
    <w:rsid w:val="12CF48B0"/>
    <w:rsid w:val="12D869D0"/>
    <w:rsid w:val="12DB2C3D"/>
    <w:rsid w:val="12DD2354"/>
    <w:rsid w:val="12F32E1C"/>
    <w:rsid w:val="12F46B6C"/>
    <w:rsid w:val="12F64B6E"/>
    <w:rsid w:val="12FB373C"/>
    <w:rsid w:val="130756DB"/>
    <w:rsid w:val="130A6F9C"/>
    <w:rsid w:val="13135720"/>
    <w:rsid w:val="13182D37"/>
    <w:rsid w:val="13205DAA"/>
    <w:rsid w:val="132306EC"/>
    <w:rsid w:val="1326352D"/>
    <w:rsid w:val="132B2A08"/>
    <w:rsid w:val="132D67D3"/>
    <w:rsid w:val="133D57F4"/>
    <w:rsid w:val="133F1684"/>
    <w:rsid w:val="13457DB1"/>
    <w:rsid w:val="13480D77"/>
    <w:rsid w:val="13480DD2"/>
    <w:rsid w:val="13491142"/>
    <w:rsid w:val="134F7E36"/>
    <w:rsid w:val="135350C1"/>
    <w:rsid w:val="135E3C68"/>
    <w:rsid w:val="13754EDD"/>
    <w:rsid w:val="137A3A9F"/>
    <w:rsid w:val="138664C5"/>
    <w:rsid w:val="138E3CB6"/>
    <w:rsid w:val="1390600E"/>
    <w:rsid w:val="139673B4"/>
    <w:rsid w:val="139A0891"/>
    <w:rsid w:val="139E0139"/>
    <w:rsid w:val="139F181D"/>
    <w:rsid w:val="13A31744"/>
    <w:rsid w:val="13A72083"/>
    <w:rsid w:val="13B27F43"/>
    <w:rsid w:val="13BA592F"/>
    <w:rsid w:val="13C15CEF"/>
    <w:rsid w:val="13C40330"/>
    <w:rsid w:val="13CA4D37"/>
    <w:rsid w:val="13CA599A"/>
    <w:rsid w:val="13D03973"/>
    <w:rsid w:val="13E55506"/>
    <w:rsid w:val="13F21BA6"/>
    <w:rsid w:val="13F42B0E"/>
    <w:rsid w:val="13FF4FA9"/>
    <w:rsid w:val="14052123"/>
    <w:rsid w:val="14075710"/>
    <w:rsid w:val="140C7EFF"/>
    <w:rsid w:val="142C6F35"/>
    <w:rsid w:val="1431046C"/>
    <w:rsid w:val="1431626A"/>
    <w:rsid w:val="143A38A4"/>
    <w:rsid w:val="143D547A"/>
    <w:rsid w:val="14400E4C"/>
    <w:rsid w:val="14431750"/>
    <w:rsid w:val="144509A6"/>
    <w:rsid w:val="144A2714"/>
    <w:rsid w:val="14593607"/>
    <w:rsid w:val="145A16D6"/>
    <w:rsid w:val="145F08C6"/>
    <w:rsid w:val="14643512"/>
    <w:rsid w:val="146607C5"/>
    <w:rsid w:val="14661BEB"/>
    <w:rsid w:val="146950AF"/>
    <w:rsid w:val="146C2FC1"/>
    <w:rsid w:val="146E54CF"/>
    <w:rsid w:val="14712DFF"/>
    <w:rsid w:val="147719A1"/>
    <w:rsid w:val="148632B4"/>
    <w:rsid w:val="14873B4A"/>
    <w:rsid w:val="148A5300"/>
    <w:rsid w:val="148B01A0"/>
    <w:rsid w:val="14912CAE"/>
    <w:rsid w:val="14976A75"/>
    <w:rsid w:val="14B40C81"/>
    <w:rsid w:val="14B51E13"/>
    <w:rsid w:val="14B92723"/>
    <w:rsid w:val="14C1368B"/>
    <w:rsid w:val="14CF3827"/>
    <w:rsid w:val="14D2081C"/>
    <w:rsid w:val="14D677E8"/>
    <w:rsid w:val="14D86F04"/>
    <w:rsid w:val="14DF1377"/>
    <w:rsid w:val="14DF1ADF"/>
    <w:rsid w:val="14E02CD4"/>
    <w:rsid w:val="14E17045"/>
    <w:rsid w:val="14E360FC"/>
    <w:rsid w:val="14F0631C"/>
    <w:rsid w:val="14FE6954"/>
    <w:rsid w:val="15013601"/>
    <w:rsid w:val="15083122"/>
    <w:rsid w:val="15260A2E"/>
    <w:rsid w:val="152672E6"/>
    <w:rsid w:val="15350CB0"/>
    <w:rsid w:val="15425AE2"/>
    <w:rsid w:val="154B3C75"/>
    <w:rsid w:val="154C39E9"/>
    <w:rsid w:val="15532F0F"/>
    <w:rsid w:val="155B0D1A"/>
    <w:rsid w:val="155D72C8"/>
    <w:rsid w:val="155F6F62"/>
    <w:rsid w:val="15677B07"/>
    <w:rsid w:val="156956AD"/>
    <w:rsid w:val="15731236"/>
    <w:rsid w:val="1573664E"/>
    <w:rsid w:val="15747D58"/>
    <w:rsid w:val="1579143D"/>
    <w:rsid w:val="157C5DDC"/>
    <w:rsid w:val="15985FBF"/>
    <w:rsid w:val="1599786A"/>
    <w:rsid w:val="159A4752"/>
    <w:rsid w:val="159B460E"/>
    <w:rsid w:val="159B5B63"/>
    <w:rsid w:val="15AC4949"/>
    <w:rsid w:val="15BD7ABA"/>
    <w:rsid w:val="15C30B26"/>
    <w:rsid w:val="15CD7A7F"/>
    <w:rsid w:val="15E36ACD"/>
    <w:rsid w:val="15E700FC"/>
    <w:rsid w:val="15E9057E"/>
    <w:rsid w:val="15F63C4C"/>
    <w:rsid w:val="15FA6459"/>
    <w:rsid w:val="160448B5"/>
    <w:rsid w:val="16104199"/>
    <w:rsid w:val="16124B05"/>
    <w:rsid w:val="1615355E"/>
    <w:rsid w:val="161568D9"/>
    <w:rsid w:val="16202866"/>
    <w:rsid w:val="162C55DA"/>
    <w:rsid w:val="162F1BA5"/>
    <w:rsid w:val="163F745A"/>
    <w:rsid w:val="16541EB2"/>
    <w:rsid w:val="1658178C"/>
    <w:rsid w:val="16587E19"/>
    <w:rsid w:val="166754E9"/>
    <w:rsid w:val="166833B2"/>
    <w:rsid w:val="166A08BC"/>
    <w:rsid w:val="166A08D7"/>
    <w:rsid w:val="166C7ED1"/>
    <w:rsid w:val="167600B7"/>
    <w:rsid w:val="16796467"/>
    <w:rsid w:val="16883986"/>
    <w:rsid w:val="169041C4"/>
    <w:rsid w:val="16972437"/>
    <w:rsid w:val="16A90A55"/>
    <w:rsid w:val="16B0772A"/>
    <w:rsid w:val="16B81C20"/>
    <w:rsid w:val="16B965DF"/>
    <w:rsid w:val="16BD0DBB"/>
    <w:rsid w:val="16BE50C4"/>
    <w:rsid w:val="16BF083A"/>
    <w:rsid w:val="16C400C2"/>
    <w:rsid w:val="16DE6400"/>
    <w:rsid w:val="16DF406A"/>
    <w:rsid w:val="16E05806"/>
    <w:rsid w:val="16E51EF3"/>
    <w:rsid w:val="16EA1999"/>
    <w:rsid w:val="16EA77C3"/>
    <w:rsid w:val="16EE300F"/>
    <w:rsid w:val="16FB0DEB"/>
    <w:rsid w:val="170246F8"/>
    <w:rsid w:val="17101258"/>
    <w:rsid w:val="171E7A32"/>
    <w:rsid w:val="17215FED"/>
    <w:rsid w:val="17216875"/>
    <w:rsid w:val="17252366"/>
    <w:rsid w:val="174200DF"/>
    <w:rsid w:val="174D3621"/>
    <w:rsid w:val="175015C1"/>
    <w:rsid w:val="175D2565"/>
    <w:rsid w:val="17644BE8"/>
    <w:rsid w:val="176B1A85"/>
    <w:rsid w:val="176D417A"/>
    <w:rsid w:val="17731731"/>
    <w:rsid w:val="177D7CB4"/>
    <w:rsid w:val="177F638E"/>
    <w:rsid w:val="179B1FDD"/>
    <w:rsid w:val="17A02C3F"/>
    <w:rsid w:val="17AB495C"/>
    <w:rsid w:val="17AC5675"/>
    <w:rsid w:val="17BE7C25"/>
    <w:rsid w:val="17C42FF5"/>
    <w:rsid w:val="17CB555F"/>
    <w:rsid w:val="17CD1F96"/>
    <w:rsid w:val="17D20528"/>
    <w:rsid w:val="17D26C71"/>
    <w:rsid w:val="17D57233"/>
    <w:rsid w:val="17D875F5"/>
    <w:rsid w:val="17E54DC1"/>
    <w:rsid w:val="17E650ED"/>
    <w:rsid w:val="17E71356"/>
    <w:rsid w:val="17E95A2A"/>
    <w:rsid w:val="17F378CF"/>
    <w:rsid w:val="1803202E"/>
    <w:rsid w:val="18067E25"/>
    <w:rsid w:val="18190221"/>
    <w:rsid w:val="18286037"/>
    <w:rsid w:val="182E556A"/>
    <w:rsid w:val="1838083D"/>
    <w:rsid w:val="183B1A72"/>
    <w:rsid w:val="18406D10"/>
    <w:rsid w:val="1845112A"/>
    <w:rsid w:val="18521290"/>
    <w:rsid w:val="185A7595"/>
    <w:rsid w:val="186C0675"/>
    <w:rsid w:val="187831B6"/>
    <w:rsid w:val="18807BB5"/>
    <w:rsid w:val="18830EC1"/>
    <w:rsid w:val="18876269"/>
    <w:rsid w:val="188D2B70"/>
    <w:rsid w:val="18B52DD6"/>
    <w:rsid w:val="18B94CB5"/>
    <w:rsid w:val="18BB5DC7"/>
    <w:rsid w:val="18C009D9"/>
    <w:rsid w:val="18C622BD"/>
    <w:rsid w:val="18EE04F4"/>
    <w:rsid w:val="18F20512"/>
    <w:rsid w:val="18F84DFD"/>
    <w:rsid w:val="190A5163"/>
    <w:rsid w:val="191348AC"/>
    <w:rsid w:val="19146B18"/>
    <w:rsid w:val="19191079"/>
    <w:rsid w:val="192C20B1"/>
    <w:rsid w:val="19333EE7"/>
    <w:rsid w:val="19432673"/>
    <w:rsid w:val="194546F5"/>
    <w:rsid w:val="194556BE"/>
    <w:rsid w:val="19475C1C"/>
    <w:rsid w:val="19675E48"/>
    <w:rsid w:val="19676B89"/>
    <w:rsid w:val="196E22E3"/>
    <w:rsid w:val="19747281"/>
    <w:rsid w:val="19755F74"/>
    <w:rsid w:val="19785673"/>
    <w:rsid w:val="19787226"/>
    <w:rsid w:val="19827C8E"/>
    <w:rsid w:val="198347A4"/>
    <w:rsid w:val="198C09C8"/>
    <w:rsid w:val="1990114D"/>
    <w:rsid w:val="199903BA"/>
    <w:rsid w:val="199A23C5"/>
    <w:rsid w:val="199B5F86"/>
    <w:rsid w:val="19AE4E90"/>
    <w:rsid w:val="19D85912"/>
    <w:rsid w:val="19EA27FF"/>
    <w:rsid w:val="19EA2DCE"/>
    <w:rsid w:val="19ED6CAD"/>
    <w:rsid w:val="19EE73F4"/>
    <w:rsid w:val="19F14936"/>
    <w:rsid w:val="1A020BB0"/>
    <w:rsid w:val="1A055C89"/>
    <w:rsid w:val="1A0F44C7"/>
    <w:rsid w:val="1A0F6C42"/>
    <w:rsid w:val="1A193C69"/>
    <w:rsid w:val="1A301D9A"/>
    <w:rsid w:val="1A370C22"/>
    <w:rsid w:val="1A3F67FD"/>
    <w:rsid w:val="1A422E87"/>
    <w:rsid w:val="1A43715B"/>
    <w:rsid w:val="1A4928C3"/>
    <w:rsid w:val="1A5870C2"/>
    <w:rsid w:val="1A6D5A89"/>
    <w:rsid w:val="1A6F3494"/>
    <w:rsid w:val="1A76272F"/>
    <w:rsid w:val="1A7A3599"/>
    <w:rsid w:val="1A876C99"/>
    <w:rsid w:val="1A880742"/>
    <w:rsid w:val="1A8905D4"/>
    <w:rsid w:val="1A8C0F67"/>
    <w:rsid w:val="1A932D9D"/>
    <w:rsid w:val="1A956B08"/>
    <w:rsid w:val="1AAE052D"/>
    <w:rsid w:val="1AAF5A58"/>
    <w:rsid w:val="1AB620C7"/>
    <w:rsid w:val="1AC209E2"/>
    <w:rsid w:val="1ACD0431"/>
    <w:rsid w:val="1AE16CAA"/>
    <w:rsid w:val="1AE206AC"/>
    <w:rsid w:val="1AEB7D69"/>
    <w:rsid w:val="1AED24F0"/>
    <w:rsid w:val="1AFA3B60"/>
    <w:rsid w:val="1AFB0D56"/>
    <w:rsid w:val="1AFB65DD"/>
    <w:rsid w:val="1B0F2815"/>
    <w:rsid w:val="1B1440D4"/>
    <w:rsid w:val="1B157B16"/>
    <w:rsid w:val="1B1E5144"/>
    <w:rsid w:val="1B206656"/>
    <w:rsid w:val="1B222CA1"/>
    <w:rsid w:val="1B2665D2"/>
    <w:rsid w:val="1B2F4D9F"/>
    <w:rsid w:val="1B2F50C2"/>
    <w:rsid w:val="1B393691"/>
    <w:rsid w:val="1B3F68C6"/>
    <w:rsid w:val="1B4070DF"/>
    <w:rsid w:val="1B542D7A"/>
    <w:rsid w:val="1B6507D8"/>
    <w:rsid w:val="1B661BD5"/>
    <w:rsid w:val="1B692A3C"/>
    <w:rsid w:val="1B6B1340"/>
    <w:rsid w:val="1B7A6194"/>
    <w:rsid w:val="1B7C376F"/>
    <w:rsid w:val="1B807B11"/>
    <w:rsid w:val="1B866717"/>
    <w:rsid w:val="1B8739A5"/>
    <w:rsid w:val="1B877FFA"/>
    <w:rsid w:val="1BB60497"/>
    <w:rsid w:val="1BC616F0"/>
    <w:rsid w:val="1BC8423D"/>
    <w:rsid w:val="1BD82F96"/>
    <w:rsid w:val="1BDC570D"/>
    <w:rsid w:val="1BDD4CDB"/>
    <w:rsid w:val="1BE17E65"/>
    <w:rsid w:val="1BE5407F"/>
    <w:rsid w:val="1BEB6292"/>
    <w:rsid w:val="1BF13CE8"/>
    <w:rsid w:val="1BF70597"/>
    <w:rsid w:val="1BFA010E"/>
    <w:rsid w:val="1C1357C0"/>
    <w:rsid w:val="1C165F0D"/>
    <w:rsid w:val="1C1757F9"/>
    <w:rsid w:val="1C1945A6"/>
    <w:rsid w:val="1C2825B1"/>
    <w:rsid w:val="1C39794A"/>
    <w:rsid w:val="1C3F1958"/>
    <w:rsid w:val="1C401BED"/>
    <w:rsid w:val="1C416E4E"/>
    <w:rsid w:val="1C45301F"/>
    <w:rsid w:val="1C4940D7"/>
    <w:rsid w:val="1C597F1C"/>
    <w:rsid w:val="1C6222DD"/>
    <w:rsid w:val="1C651191"/>
    <w:rsid w:val="1C6F2DD5"/>
    <w:rsid w:val="1C7A6BC9"/>
    <w:rsid w:val="1C7E5EF2"/>
    <w:rsid w:val="1C804021"/>
    <w:rsid w:val="1C843FA5"/>
    <w:rsid w:val="1C855CBA"/>
    <w:rsid w:val="1C895616"/>
    <w:rsid w:val="1C8B68E6"/>
    <w:rsid w:val="1C97555A"/>
    <w:rsid w:val="1C975D24"/>
    <w:rsid w:val="1C9867B6"/>
    <w:rsid w:val="1C9A154B"/>
    <w:rsid w:val="1CA163BE"/>
    <w:rsid w:val="1CA42ED9"/>
    <w:rsid w:val="1CAA7B2D"/>
    <w:rsid w:val="1CB165DF"/>
    <w:rsid w:val="1CC16535"/>
    <w:rsid w:val="1CC6740F"/>
    <w:rsid w:val="1CC9143D"/>
    <w:rsid w:val="1CD0552C"/>
    <w:rsid w:val="1CD652AA"/>
    <w:rsid w:val="1CE00172"/>
    <w:rsid w:val="1CE03963"/>
    <w:rsid w:val="1CE3639C"/>
    <w:rsid w:val="1CE65F5A"/>
    <w:rsid w:val="1CF01E7C"/>
    <w:rsid w:val="1D0B68A5"/>
    <w:rsid w:val="1D121B98"/>
    <w:rsid w:val="1D132EC3"/>
    <w:rsid w:val="1D225C5E"/>
    <w:rsid w:val="1D2764C5"/>
    <w:rsid w:val="1D417CAD"/>
    <w:rsid w:val="1D432976"/>
    <w:rsid w:val="1D4668BC"/>
    <w:rsid w:val="1D481C74"/>
    <w:rsid w:val="1D5148B9"/>
    <w:rsid w:val="1D534701"/>
    <w:rsid w:val="1D557F22"/>
    <w:rsid w:val="1D572F5F"/>
    <w:rsid w:val="1D5A01A2"/>
    <w:rsid w:val="1D6629DF"/>
    <w:rsid w:val="1D731F7A"/>
    <w:rsid w:val="1D947061"/>
    <w:rsid w:val="1D9B1632"/>
    <w:rsid w:val="1D9F0B2A"/>
    <w:rsid w:val="1DB179DE"/>
    <w:rsid w:val="1DDA2BC7"/>
    <w:rsid w:val="1DE44B44"/>
    <w:rsid w:val="1DE82F4B"/>
    <w:rsid w:val="1DF03DC7"/>
    <w:rsid w:val="1DF24A89"/>
    <w:rsid w:val="1E031230"/>
    <w:rsid w:val="1E0A2108"/>
    <w:rsid w:val="1E197963"/>
    <w:rsid w:val="1E1E5D57"/>
    <w:rsid w:val="1E263DE6"/>
    <w:rsid w:val="1E2A74A2"/>
    <w:rsid w:val="1E2D5EA3"/>
    <w:rsid w:val="1E38463A"/>
    <w:rsid w:val="1E3B52B8"/>
    <w:rsid w:val="1E462FA6"/>
    <w:rsid w:val="1E470BB7"/>
    <w:rsid w:val="1E5052A0"/>
    <w:rsid w:val="1E50618E"/>
    <w:rsid w:val="1E5201DB"/>
    <w:rsid w:val="1E5F2530"/>
    <w:rsid w:val="1E6B79AD"/>
    <w:rsid w:val="1E7C2F77"/>
    <w:rsid w:val="1E9C49C5"/>
    <w:rsid w:val="1EA05B04"/>
    <w:rsid w:val="1EA34E58"/>
    <w:rsid w:val="1EA6605E"/>
    <w:rsid w:val="1EAF1D7C"/>
    <w:rsid w:val="1EB76263"/>
    <w:rsid w:val="1EB915DF"/>
    <w:rsid w:val="1EB96BC3"/>
    <w:rsid w:val="1EC35809"/>
    <w:rsid w:val="1ED7583A"/>
    <w:rsid w:val="1EE609BE"/>
    <w:rsid w:val="1EE72D16"/>
    <w:rsid w:val="1EE95730"/>
    <w:rsid w:val="1EEB7F75"/>
    <w:rsid w:val="1EF50003"/>
    <w:rsid w:val="1EF85073"/>
    <w:rsid w:val="1F160633"/>
    <w:rsid w:val="1F195295"/>
    <w:rsid w:val="1F1D2320"/>
    <w:rsid w:val="1F1E5BD0"/>
    <w:rsid w:val="1F2B6268"/>
    <w:rsid w:val="1F32040B"/>
    <w:rsid w:val="1F653AC0"/>
    <w:rsid w:val="1F675CB5"/>
    <w:rsid w:val="1F6D2D21"/>
    <w:rsid w:val="1F754AC2"/>
    <w:rsid w:val="1F7E4E5E"/>
    <w:rsid w:val="1F8B48BE"/>
    <w:rsid w:val="1F936DDB"/>
    <w:rsid w:val="1FA018A6"/>
    <w:rsid w:val="1FAF08A0"/>
    <w:rsid w:val="1FC217D1"/>
    <w:rsid w:val="1FC96DE2"/>
    <w:rsid w:val="1FD05B95"/>
    <w:rsid w:val="1FD5567F"/>
    <w:rsid w:val="1FDB052F"/>
    <w:rsid w:val="1FE13084"/>
    <w:rsid w:val="1FE90122"/>
    <w:rsid w:val="1FFD02CA"/>
    <w:rsid w:val="20007AF1"/>
    <w:rsid w:val="20010CA8"/>
    <w:rsid w:val="20110A44"/>
    <w:rsid w:val="201F6B92"/>
    <w:rsid w:val="20312824"/>
    <w:rsid w:val="203844CB"/>
    <w:rsid w:val="203B5C82"/>
    <w:rsid w:val="203D5C44"/>
    <w:rsid w:val="20425FD4"/>
    <w:rsid w:val="204269D2"/>
    <w:rsid w:val="205E5A7B"/>
    <w:rsid w:val="206106F3"/>
    <w:rsid w:val="20621222"/>
    <w:rsid w:val="206644BA"/>
    <w:rsid w:val="206D3F96"/>
    <w:rsid w:val="206F252B"/>
    <w:rsid w:val="20722A33"/>
    <w:rsid w:val="207361DF"/>
    <w:rsid w:val="2082044F"/>
    <w:rsid w:val="208239FA"/>
    <w:rsid w:val="2084468B"/>
    <w:rsid w:val="208F419C"/>
    <w:rsid w:val="20905614"/>
    <w:rsid w:val="20A0611A"/>
    <w:rsid w:val="20A21F1D"/>
    <w:rsid w:val="20A5188C"/>
    <w:rsid w:val="20AB713C"/>
    <w:rsid w:val="20B02C71"/>
    <w:rsid w:val="20B73C0C"/>
    <w:rsid w:val="20C002F3"/>
    <w:rsid w:val="20C761D0"/>
    <w:rsid w:val="20CB6042"/>
    <w:rsid w:val="20D14525"/>
    <w:rsid w:val="20DE438F"/>
    <w:rsid w:val="20E13C38"/>
    <w:rsid w:val="20F037B8"/>
    <w:rsid w:val="20F919D6"/>
    <w:rsid w:val="20FF3AD2"/>
    <w:rsid w:val="2100475C"/>
    <w:rsid w:val="210B0D4F"/>
    <w:rsid w:val="21127F39"/>
    <w:rsid w:val="211E1F35"/>
    <w:rsid w:val="21226CB8"/>
    <w:rsid w:val="212704F7"/>
    <w:rsid w:val="212E7B3C"/>
    <w:rsid w:val="212F29EF"/>
    <w:rsid w:val="213B7938"/>
    <w:rsid w:val="21416ADF"/>
    <w:rsid w:val="21485F0F"/>
    <w:rsid w:val="214A5617"/>
    <w:rsid w:val="21587B19"/>
    <w:rsid w:val="215F619C"/>
    <w:rsid w:val="21617F84"/>
    <w:rsid w:val="216C4D8C"/>
    <w:rsid w:val="21723F5A"/>
    <w:rsid w:val="21991D34"/>
    <w:rsid w:val="21997739"/>
    <w:rsid w:val="21A344BB"/>
    <w:rsid w:val="21AA5CF2"/>
    <w:rsid w:val="21B11A5D"/>
    <w:rsid w:val="21B24A39"/>
    <w:rsid w:val="21B739B5"/>
    <w:rsid w:val="21BA6195"/>
    <w:rsid w:val="21C568C0"/>
    <w:rsid w:val="21CC072C"/>
    <w:rsid w:val="21D83182"/>
    <w:rsid w:val="21E6380D"/>
    <w:rsid w:val="21FF6F63"/>
    <w:rsid w:val="22155352"/>
    <w:rsid w:val="22234C5E"/>
    <w:rsid w:val="22283DFE"/>
    <w:rsid w:val="223E1DBD"/>
    <w:rsid w:val="223E1EC0"/>
    <w:rsid w:val="22456351"/>
    <w:rsid w:val="224E1B34"/>
    <w:rsid w:val="22503EF1"/>
    <w:rsid w:val="226218E5"/>
    <w:rsid w:val="226D2E5F"/>
    <w:rsid w:val="226F41AC"/>
    <w:rsid w:val="227B3757"/>
    <w:rsid w:val="228E25BD"/>
    <w:rsid w:val="22932011"/>
    <w:rsid w:val="229346E4"/>
    <w:rsid w:val="22945DCF"/>
    <w:rsid w:val="22957F78"/>
    <w:rsid w:val="2296086C"/>
    <w:rsid w:val="22994B63"/>
    <w:rsid w:val="22A0786A"/>
    <w:rsid w:val="22A86F0C"/>
    <w:rsid w:val="22AD33B8"/>
    <w:rsid w:val="22B102DA"/>
    <w:rsid w:val="22B13E8B"/>
    <w:rsid w:val="22B41332"/>
    <w:rsid w:val="22B8563B"/>
    <w:rsid w:val="22C62F18"/>
    <w:rsid w:val="22C93099"/>
    <w:rsid w:val="22D3076F"/>
    <w:rsid w:val="22D54675"/>
    <w:rsid w:val="22DA1DB7"/>
    <w:rsid w:val="22E9487C"/>
    <w:rsid w:val="22EB3EE3"/>
    <w:rsid w:val="22EC3140"/>
    <w:rsid w:val="22F23FC8"/>
    <w:rsid w:val="23021B5C"/>
    <w:rsid w:val="23086362"/>
    <w:rsid w:val="2310348C"/>
    <w:rsid w:val="232105D3"/>
    <w:rsid w:val="23232F17"/>
    <w:rsid w:val="232754A1"/>
    <w:rsid w:val="232E1D00"/>
    <w:rsid w:val="233072C8"/>
    <w:rsid w:val="233174FD"/>
    <w:rsid w:val="233522AE"/>
    <w:rsid w:val="23381F43"/>
    <w:rsid w:val="233C7EE7"/>
    <w:rsid w:val="234253C3"/>
    <w:rsid w:val="234A582F"/>
    <w:rsid w:val="23554879"/>
    <w:rsid w:val="23586C2F"/>
    <w:rsid w:val="236176B5"/>
    <w:rsid w:val="236D78D8"/>
    <w:rsid w:val="237A0733"/>
    <w:rsid w:val="238641F1"/>
    <w:rsid w:val="23882AA7"/>
    <w:rsid w:val="238E62B1"/>
    <w:rsid w:val="23967F1B"/>
    <w:rsid w:val="23972701"/>
    <w:rsid w:val="239879A2"/>
    <w:rsid w:val="23A828BC"/>
    <w:rsid w:val="23B26CE0"/>
    <w:rsid w:val="23B4085A"/>
    <w:rsid w:val="23BC1DB4"/>
    <w:rsid w:val="23BF1681"/>
    <w:rsid w:val="23C32850"/>
    <w:rsid w:val="23CA7035"/>
    <w:rsid w:val="23CB2AA9"/>
    <w:rsid w:val="23CF20CD"/>
    <w:rsid w:val="23D6784D"/>
    <w:rsid w:val="23DE6286"/>
    <w:rsid w:val="23E14002"/>
    <w:rsid w:val="24044C11"/>
    <w:rsid w:val="24061828"/>
    <w:rsid w:val="240B3592"/>
    <w:rsid w:val="241056EE"/>
    <w:rsid w:val="241262D0"/>
    <w:rsid w:val="241C0B0E"/>
    <w:rsid w:val="241E3F25"/>
    <w:rsid w:val="241F43D4"/>
    <w:rsid w:val="242E52F8"/>
    <w:rsid w:val="242F15B0"/>
    <w:rsid w:val="24470887"/>
    <w:rsid w:val="244B510D"/>
    <w:rsid w:val="24586447"/>
    <w:rsid w:val="245E2743"/>
    <w:rsid w:val="246A0F18"/>
    <w:rsid w:val="24782E56"/>
    <w:rsid w:val="247902F7"/>
    <w:rsid w:val="247D2BE0"/>
    <w:rsid w:val="248079B8"/>
    <w:rsid w:val="24845FBD"/>
    <w:rsid w:val="248A3369"/>
    <w:rsid w:val="24A37555"/>
    <w:rsid w:val="24A7352D"/>
    <w:rsid w:val="24AF0F2F"/>
    <w:rsid w:val="24B411AB"/>
    <w:rsid w:val="24B50DBC"/>
    <w:rsid w:val="24BA6373"/>
    <w:rsid w:val="24C37016"/>
    <w:rsid w:val="24D06D1E"/>
    <w:rsid w:val="24D4363E"/>
    <w:rsid w:val="24DB7D4E"/>
    <w:rsid w:val="24DC078E"/>
    <w:rsid w:val="24DF49F6"/>
    <w:rsid w:val="24E23655"/>
    <w:rsid w:val="24EB5C8D"/>
    <w:rsid w:val="24ED38F7"/>
    <w:rsid w:val="250E51AC"/>
    <w:rsid w:val="2519668B"/>
    <w:rsid w:val="2536453E"/>
    <w:rsid w:val="253C6499"/>
    <w:rsid w:val="25411612"/>
    <w:rsid w:val="25414055"/>
    <w:rsid w:val="254A6968"/>
    <w:rsid w:val="255249EA"/>
    <w:rsid w:val="2569420A"/>
    <w:rsid w:val="256A753D"/>
    <w:rsid w:val="256D2B39"/>
    <w:rsid w:val="257178BF"/>
    <w:rsid w:val="257B4A73"/>
    <w:rsid w:val="25803513"/>
    <w:rsid w:val="25A014C8"/>
    <w:rsid w:val="25AB4E90"/>
    <w:rsid w:val="25C76E81"/>
    <w:rsid w:val="25C86D79"/>
    <w:rsid w:val="25CA3EE5"/>
    <w:rsid w:val="25CF5778"/>
    <w:rsid w:val="25D12660"/>
    <w:rsid w:val="25D16A61"/>
    <w:rsid w:val="25EE7770"/>
    <w:rsid w:val="25F012A9"/>
    <w:rsid w:val="25F36066"/>
    <w:rsid w:val="25F51E61"/>
    <w:rsid w:val="25F664D8"/>
    <w:rsid w:val="25FA5AF7"/>
    <w:rsid w:val="25FA61EC"/>
    <w:rsid w:val="26082D04"/>
    <w:rsid w:val="262140AF"/>
    <w:rsid w:val="26221CF3"/>
    <w:rsid w:val="262A2E17"/>
    <w:rsid w:val="26454F00"/>
    <w:rsid w:val="264D55BD"/>
    <w:rsid w:val="265C0209"/>
    <w:rsid w:val="26723EA0"/>
    <w:rsid w:val="26767CF2"/>
    <w:rsid w:val="2679602A"/>
    <w:rsid w:val="267C05F7"/>
    <w:rsid w:val="267E365D"/>
    <w:rsid w:val="268B3A55"/>
    <w:rsid w:val="268F0AF4"/>
    <w:rsid w:val="26A55300"/>
    <w:rsid w:val="26AC2D80"/>
    <w:rsid w:val="26B074A3"/>
    <w:rsid w:val="26B73C42"/>
    <w:rsid w:val="26C41F95"/>
    <w:rsid w:val="26C758D0"/>
    <w:rsid w:val="26CB24D1"/>
    <w:rsid w:val="26D32C40"/>
    <w:rsid w:val="26E03825"/>
    <w:rsid w:val="26E96306"/>
    <w:rsid w:val="26F37BCE"/>
    <w:rsid w:val="26F7172F"/>
    <w:rsid w:val="270333EC"/>
    <w:rsid w:val="27036DF8"/>
    <w:rsid w:val="272840A8"/>
    <w:rsid w:val="273419E0"/>
    <w:rsid w:val="273A1922"/>
    <w:rsid w:val="274E2491"/>
    <w:rsid w:val="27517174"/>
    <w:rsid w:val="27665743"/>
    <w:rsid w:val="276905FB"/>
    <w:rsid w:val="276F6846"/>
    <w:rsid w:val="2777075E"/>
    <w:rsid w:val="277D70DC"/>
    <w:rsid w:val="27920EFB"/>
    <w:rsid w:val="27950FCD"/>
    <w:rsid w:val="27952C69"/>
    <w:rsid w:val="2798540F"/>
    <w:rsid w:val="27C20F5D"/>
    <w:rsid w:val="27C35DCC"/>
    <w:rsid w:val="27C63A14"/>
    <w:rsid w:val="27C66224"/>
    <w:rsid w:val="27CD7BE7"/>
    <w:rsid w:val="27CE5BCC"/>
    <w:rsid w:val="27D23DFB"/>
    <w:rsid w:val="27D35FD0"/>
    <w:rsid w:val="27DB0DEB"/>
    <w:rsid w:val="27E234BC"/>
    <w:rsid w:val="27F55BDF"/>
    <w:rsid w:val="28102293"/>
    <w:rsid w:val="2819629F"/>
    <w:rsid w:val="281D22D1"/>
    <w:rsid w:val="2832089F"/>
    <w:rsid w:val="28341CEF"/>
    <w:rsid w:val="2835183D"/>
    <w:rsid w:val="28373AA9"/>
    <w:rsid w:val="28375CED"/>
    <w:rsid w:val="28381D52"/>
    <w:rsid w:val="283A2F96"/>
    <w:rsid w:val="283E3218"/>
    <w:rsid w:val="28423054"/>
    <w:rsid w:val="28425D08"/>
    <w:rsid w:val="28443084"/>
    <w:rsid w:val="28637B3C"/>
    <w:rsid w:val="286D0FBC"/>
    <w:rsid w:val="2871746B"/>
    <w:rsid w:val="28793D73"/>
    <w:rsid w:val="287B629D"/>
    <w:rsid w:val="287D6367"/>
    <w:rsid w:val="287E77FC"/>
    <w:rsid w:val="28842EC6"/>
    <w:rsid w:val="288434D8"/>
    <w:rsid w:val="288E5410"/>
    <w:rsid w:val="28A417D7"/>
    <w:rsid w:val="28AB265D"/>
    <w:rsid w:val="28B53530"/>
    <w:rsid w:val="28B83D6C"/>
    <w:rsid w:val="28C0331B"/>
    <w:rsid w:val="28C9595F"/>
    <w:rsid w:val="28CE450A"/>
    <w:rsid w:val="28D1778F"/>
    <w:rsid w:val="28D87897"/>
    <w:rsid w:val="28E04B4D"/>
    <w:rsid w:val="28F54C9D"/>
    <w:rsid w:val="29036B4D"/>
    <w:rsid w:val="2907210F"/>
    <w:rsid w:val="2907506E"/>
    <w:rsid w:val="291809C4"/>
    <w:rsid w:val="291F6EC3"/>
    <w:rsid w:val="29215A42"/>
    <w:rsid w:val="2923749C"/>
    <w:rsid w:val="292729A8"/>
    <w:rsid w:val="29340FBC"/>
    <w:rsid w:val="2936455D"/>
    <w:rsid w:val="2945510D"/>
    <w:rsid w:val="294F59BF"/>
    <w:rsid w:val="29542F0C"/>
    <w:rsid w:val="295C763C"/>
    <w:rsid w:val="29614327"/>
    <w:rsid w:val="29642C52"/>
    <w:rsid w:val="29661088"/>
    <w:rsid w:val="29674894"/>
    <w:rsid w:val="2976352E"/>
    <w:rsid w:val="29895FF6"/>
    <w:rsid w:val="29955CC7"/>
    <w:rsid w:val="29A009EF"/>
    <w:rsid w:val="29A529F3"/>
    <w:rsid w:val="29A976B3"/>
    <w:rsid w:val="29B3193F"/>
    <w:rsid w:val="29B46FAD"/>
    <w:rsid w:val="29BD581A"/>
    <w:rsid w:val="29CB120E"/>
    <w:rsid w:val="29CC51B0"/>
    <w:rsid w:val="29CD2DEE"/>
    <w:rsid w:val="29D26239"/>
    <w:rsid w:val="29E33BB4"/>
    <w:rsid w:val="29E564B7"/>
    <w:rsid w:val="29E871C4"/>
    <w:rsid w:val="29E87BAE"/>
    <w:rsid w:val="29ED1DF9"/>
    <w:rsid w:val="2A0E2732"/>
    <w:rsid w:val="2A104B74"/>
    <w:rsid w:val="2A2246DC"/>
    <w:rsid w:val="2A232F10"/>
    <w:rsid w:val="2A29082E"/>
    <w:rsid w:val="2A2B765D"/>
    <w:rsid w:val="2A2D6C60"/>
    <w:rsid w:val="2A305036"/>
    <w:rsid w:val="2A390E1A"/>
    <w:rsid w:val="2A402D7F"/>
    <w:rsid w:val="2A4C584E"/>
    <w:rsid w:val="2A4F7DD9"/>
    <w:rsid w:val="2A5C2D9A"/>
    <w:rsid w:val="2A654FD8"/>
    <w:rsid w:val="2A6C3A68"/>
    <w:rsid w:val="2A7005EE"/>
    <w:rsid w:val="2A7E2EB9"/>
    <w:rsid w:val="2A7F01D9"/>
    <w:rsid w:val="2A84690D"/>
    <w:rsid w:val="2A851B17"/>
    <w:rsid w:val="2A87042B"/>
    <w:rsid w:val="2A9E4602"/>
    <w:rsid w:val="2A9F5AA2"/>
    <w:rsid w:val="2AA82A02"/>
    <w:rsid w:val="2AAE29AB"/>
    <w:rsid w:val="2AAE5931"/>
    <w:rsid w:val="2AAE7150"/>
    <w:rsid w:val="2AAF0E1D"/>
    <w:rsid w:val="2AB52EF2"/>
    <w:rsid w:val="2AB57603"/>
    <w:rsid w:val="2AB94398"/>
    <w:rsid w:val="2AB94F63"/>
    <w:rsid w:val="2ABC4F0E"/>
    <w:rsid w:val="2AC236AB"/>
    <w:rsid w:val="2AC52BDB"/>
    <w:rsid w:val="2AD94720"/>
    <w:rsid w:val="2ADC7F0C"/>
    <w:rsid w:val="2AE65889"/>
    <w:rsid w:val="2AF45D52"/>
    <w:rsid w:val="2AFA1D2F"/>
    <w:rsid w:val="2B017880"/>
    <w:rsid w:val="2B093180"/>
    <w:rsid w:val="2B147AB0"/>
    <w:rsid w:val="2B1F068A"/>
    <w:rsid w:val="2B2B5072"/>
    <w:rsid w:val="2B36053F"/>
    <w:rsid w:val="2B4F2166"/>
    <w:rsid w:val="2B540965"/>
    <w:rsid w:val="2B5637C6"/>
    <w:rsid w:val="2B6B002C"/>
    <w:rsid w:val="2B7A6805"/>
    <w:rsid w:val="2B7B4975"/>
    <w:rsid w:val="2B8A1EA0"/>
    <w:rsid w:val="2B8B30F2"/>
    <w:rsid w:val="2B94582A"/>
    <w:rsid w:val="2B981FD7"/>
    <w:rsid w:val="2B993933"/>
    <w:rsid w:val="2B9C2319"/>
    <w:rsid w:val="2BAE4351"/>
    <w:rsid w:val="2BBC582B"/>
    <w:rsid w:val="2BC242B7"/>
    <w:rsid w:val="2BC95F09"/>
    <w:rsid w:val="2BCD1D19"/>
    <w:rsid w:val="2BD07ABE"/>
    <w:rsid w:val="2BD90CE7"/>
    <w:rsid w:val="2BE04A4A"/>
    <w:rsid w:val="2BE75544"/>
    <w:rsid w:val="2BF144E7"/>
    <w:rsid w:val="2BF51CAB"/>
    <w:rsid w:val="2BF67BDA"/>
    <w:rsid w:val="2C00548F"/>
    <w:rsid w:val="2C0527C4"/>
    <w:rsid w:val="2C054A68"/>
    <w:rsid w:val="2C077CC9"/>
    <w:rsid w:val="2C083354"/>
    <w:rsid w:val="2C0E2AD1"/>
    <w:rsid w:val="2C0E3734"/>
    <w:rsid w:val="2C132B79"/>
    <w:rsid w:val="2C135E66"/>
    <w:rsid w:val="2C147445"/>
    <w:rsid w:val="2C2067F4"/>
    <w:rsid w:val="2C287D2E"/>
    <w:rsid w:val="2C3C0084"/>
    <w:rsid w:val="2C3C60EC"/>
    <w:rsid w:val="2C49711C"/>
    <w:rsid w:val="2C4B39C1"/>
    <w:rsid w:val="2C4C2D07"/>
    <w:rsid w:val="2C55425C"/>
    <w:rsid w:val="2C570C2E"/>
    <w:rsid w:val="2C5867CF"/>
    <w:rsid w:val="2C5A3CA2"/>
    <w:rsid w:val="2C626817"/>
    <w:rsid w:val="2C650E27"/>
    <w:rsid w:val="2C711EEF"/>
    <w:rsid w:val="2C741C56"/>
    <w:rsid w:val="2C742860"/>
    <w:rsid w:val="2C754B6E"/>
    <w:rsid w:val="2C7A49B4"/>
    <w:rsid w:val="2C8033BF"/>
    <w:rsid w:val="2C813283"/>
    <w:rsid w:val="2C856B6D"/>
    <w:rsid w:val="2C864D5D"/>
    <w:rsid w:val="2C865BA4"/>
    <w:rsid w:val="2C914764"/>
    <w:rsid w:val="2C917776"/>
    <w:rsid w:val="2C953F8E"/>
    <w:rsid w:val="2CA322B2"/>
    <w:rsid w:val="2CBE16CE"/>
    <w:rsid w:val="2CC162DF"/>
    <w:rsid w:val="2CCE7901"/>
    <w:rsid w:val="2CCF3AE3"/>
    <w:rsid w:val="2CD256B5"/>
    <w:rsid w:val="2CD27D8B"/>
    <w:rsid w:val="2CD552FC"/>
    <w:rsid w:val="2CE326FE"/>
    <w:rsid w:val="2CE43832"/>
    <w:rsid w:val="2CE44043"/>
    <w:rsid w:val="2CE849E2"/>
    <w:rsid w:val="2CF04690"/>
    <w:rsid w:val="2D0A03F2"/>
    <w:rsid w:val="2D1E198E"/>
    <w:rsid w:val="2D295135"/>
    <w:rsid w:val="2D443FE9"/>
    <w:rsid w:val="2D4C2455"/>
    <w:rsid w:val="2D727EB6"/>
    <w:rsid w:val="2D791996"/>
    <w:rsid w:val="2D7D2C37"/>
    <w:rsid w:val="2D824E3E"/>
    <w:rsid w:val="2D845D33"/>
    <w:rsid w:val="2D8541D7"/>
    <w:rsid w:val="2D9244D7"/>
    <w:rsid w:val="2DA17087"/>
    <w:rsid w:val="2DA316CF"/>
    <w:rsid w:val="2DA87FD4"/>
    <w:rsid w:val="2DB1022B"/>
    <w:rsid w:val="2DB354A8"/>
    <w:rsid w:val="2DC83F69"/>
    <w:rsid w:val="2DD4185E"/>
    <w:rsid w:val="2DDD68D4"/>
    <w:rsid w:val="2DE94E00"/>
    <w:rsid w:val="2DE95AF2"/>
    <w:rsid w:val="2DF4431F"/>
    <w:rsid w:val="2DF81343"/>
    <w:rsid w:val="2E065B71"/>
    <w:rsid w:val="2E0A1885"/>
    <w:rsid w:val="2E0B3EE5"/>
    <w:rsid w:val="2E100C6F"/>
    <w:rsid w:val="2E123269"/>
    <w:rsid w:val="2E2F1E00"/>
    <w:rsid w:val="2E312AF4"/>
    <w:rsid w:val="2E327B35"/>
    <w:rsid w:val="2E341945"/>
    <w:rsid w:val="2E353CBD"/>
    <w:rsid w:val="2E48613E"/>
    <w:rsid w:val="2E580318"/>
    <w:rsid w:val="2E5914E9"/>
    <w:rsid w:val="2E662D38"/>
    <w:rsid w:val="2E66582D"/>
    <w:rsid w:val="2E6D0429"/>
    <w:rsid w:val="2E8849D7"/>
    <w:rsid w:val="2E8A6194"/>
    <w:rsid w:val="2E9E3363"/>
    <w:rsid w:val="2E9F7C04"/>
    <w:rsid w:val="2EB06528"/>
    <w:rsid w:val="2EB37B41"/>
    <w:rsid w:val="2EC56E14"/>
    <w:rsid w:val="2EC72440"/>
    <w:rsid w:val="2EC8691E"/>
    <w:rsid w:val="2EE47B23"/>
    <w:rsid w:val="2EE5685E"/>
    <w:rsid w:val="2EE650F0"/>
    <w:rsid w:val="2EED3AAB"/>
    <w:rsid w:val="2EF51BF7"/>
    <w:rsid w:val="2EFB3139"/>
    <w:rsid w:val="2F0956D8"/>
    <w:rsid w:val="2F0B11C6"/>
    <w:rsid w:val="2F1211D4"/>
    <w:rsid w:val="2F161F9B"/>
    <w:rsid w:val="2F166097"/>
    <w:rsid w:val="2F1B3551"/>
    <w:rsid w:val="2F1C4025"/>
    <w:rsid w:val="2F276E87"/>
    <w:rsid w:val="2F4D4755"/>
    <w:rsid w:val="2F530C4E"/>
    <w:rsid w:val="2F5A542B"/>
    <w:rsid w:val="2F5C1DA5"/>
    <w:rsid w:val="2F670022"/>
    <w:rsid w:val="2F67698F"/>
    <w:rsid w:val="2F7C09BE"/>
    <w:rsid w:val="2F7F3A8D"/>
    <w:rsid w:val="2F802BAD"/>
    <w:rsid w:val="2F915DE3"/>
    <w:rsid w:val="2F950E14"/>
    <w:rsid w:val="2F9C5855"/>
    <w:rsid w:val="2FA11956"/>
    <w:rsid w:val="2FAB3592"/>
    <w:rsid w:val="2FAD5DD7"/>
    <w:rsid w:val="2FBA5E02"/>
    <w:rsid w:val="2FC442E0"/>
    <w:rsid w:val="2FC94410"/>
    <w:rsid w:val="2FCF651D"/>
    <w:rsid w:val="2FD0685A"/>
    <w:rsid w:val="2FDB1D69"/>
    <w:rsid w:val="2FDC6090"/>
    <w:rsid w:val="2FE316AC"/>
    <w:rsid w:val="2FEC137B"/>
    <w:rsid w:val="2FED0450"/>
    <w:rsid w:val="2FF339F9"/>
    <w:rsid w:val="2FF3760C"/>
    <w:rsid w:val="2FF60969"/>
    <w:rsid w:val="30016576"/>
    <w:rsid w:val="300C7FC7"/>
    <w:rsid w:val="301252CA"/>
    <w:rsid w:val="3033458D"/>
    <w:rsid w:val="30363380"/>
    <w:rsid w:val="303C2A53"/>
    <w:rsid w:val="30442F71"/>
    <w:rsid w:val="30450B2F"/>
    <w:rsid w:val="30455FCF"/>
    <w:rsid w:val="305109ED"/>
    <w:rsid w:val="305524A4"/>
    <w:rsid w:val="305709AA"/>
    <w:rsid w:val="30587FDB"/>
    <w:rsid w:val="305F1FE5"/>
    <w:rsid w:val="305F572A"/>
    <w:rsid w:val="30652551"/>
    <w:rsid w:val="3075540A"/>
    <w:rsid w:val="307A2C83"/>
    <w:rsid w:val="3087572A"/>
    <w:rsid w:val="309457AA"/>
    <w:rsid w:val="30AE620A"/>
    <w:rsid w:val="30B229E0"/>
    <w:rsid w:val="30B31C32"/>
    <w:rsid w:val="30B41785"/>
    <w:rsid w:val="30B4588C"/>
    <w:rsid w:val="30B734C5"/>
    <w:rsid w:val="30C209FC"/>
    <w:rsid w:val="30DD3139"/>
    <w:rsid w:val="30DE3A22"/>
    <w:rsid w:val="30E47579"/>
    <w:rsid w:val="30E717EA"/>
    <w:rsid w:val="30EE4650"/>
    <w:rsid w:val="30EE54B8"/>
    <w:rsid w:val="30EF01CE"/>
    <w:rsid w:val="30EF3CA3"/>
    <w:rsid w:val="30FB27B1"/>
    <w:rsid w:val="30FF0064"/>
    <w:rsid w:val="31065C4F"/>
    <w:rsid w:val="310E67F6"/>
    <w:rsid w:val="311F51C6"/>
    <w:rsid w:val="31201A4D"/>
    <w:rsid w:val="3124587D"/>
    <w:rsid w:val="312471D8"/>
    <w:rsid w:val="312A0D91"/>
    <w:rsid w:val="312B19F7"/>
    <w:rsid w:val="312D11BF"/>
    <w:rsid w:val="31321010"/>
    <w:rsid w:val="313A17D8"/>
    <w:rsid w:val="313E7B4A"/>
    <w:rsid w:val="314B002F"/>
    <w:rsid w:val="314D7B0D"/>
    <w:rsid w:val="31535AA1"/>
    <w:rsid w:val="3154052F"/>
    <w:rsid w:val="3154234A"/>
    <w:rsid w:val="315A0C4D"/>
    <w:rsid w:val="315C19D2"/>
    <w:rsid w:val="315E4D80"/>
    <w:rsid w:val="3178057B"/>
    <w:rsid w:val="31A041CB"/>
    <w:rsid w:val="31B636DA"/>
    <w:rsid w:val="31BC0190"/>
    <w:rsid w:val="31DF5327"/>
    <w:rsid w:val="31EE309C"/>
    <w:rsid w:val="31F23130"/>
    <w:rsid w:val="31F36641"/>
    <w:rsid w:val="31F46815"/>
    <w:rsid w:val="3201280C"/>
    <w:rsid w:val="320717E5"/>
    <w:rsid w:val="320C5C4F"/>
    <w:rsid w:val="320D1F72"/>
    <w:rsid w:val="321133AE"/>
    <w:rsid w:val="32124C25"/>
    <w:rsid w:val="3217632D"/>
    <w:rsid w:val="32322790"/>
    <w:rsid w:val="32381C93"/>
    <w:rsid w:val="32396B92"/>
    <w:rsid w:val="32501877"/>
    <w:rsid w:val="325B6344"/>
    <w:rsid w:val="32672576"/>
    <w:rsid w:val="3269657D"/>
    <w:rsid w:val="326A343C"/>
    <w:rsid w:val="326A4443"/>
    <w:rsid w:val="326E3455"/>
    <w:rsid w:val="32747078"/>
    <w:rsid w:val="328408EB"/>
    <w:rsid w:val="32854B91"/>
    <w:rsid w:val="32C17108"/>
    <w:rsid w:val="32D436DF"/>
    <w:rsid w:val="32EB18C5"/>
    <w:rsid w:val="32EE1D3C"/>
    <w:rsid w:val="32F825DE"/>
    <w:rsid w:val="32FA42C2"/>
    <w:rsid w:val="32FE5DE1"/>
    <w:rsid w:val="32FF6039"/>
    <w:rsid w:val="3302432C"/>
    <w:rsid w:val="330311E1"/>
    <w:rsid w:val="330662B0"/>
    <w:rsid w:val="33077AC8"/>
    <w:rsid w:val="33171E39"/>
    <w:rsid w:val="332005FC"/>
    <w:rsid w:val="333A23FE"/>
    <w:rsid w:val="33673F71"/>
    <w:rsid w:val="337019E6"/>
    <w:rsid w:val="33711741"/>
    <w:rsid w:val="3372779D"/>
    <w:rsid w:val="33795F6A"/>
    <w:rsid w:val="337C7D01"/>
    <w:rsid w:val="337D202C"/>
    <w:rsid w:val="337D4CB8"/>
    <w:rsid w:val="338C16FF"/>
    <w:rsid w:val="339E56AA"/>
    <w:rsid w:val="33A3143C"/>
    <w:rsid w:val="33A8556B"/>
    <w:rsid w:val="33A96D6D"/>
    <w:rsid w:val="33B07180"/>
    <w:rsid w:val="33C1004F"/>
    <w:rsid w:val="33C87F1D"/>
    <w:rsid w:val="33CF2B46"/>
    <w:rsid w:val="33D60554"/>
    <w:rsid w:val="33DD479A"/>
    <w:rsid w:val="33E80CF3"/>
    <w:rsid w:val="33EA5ABC"/>
    <w:rsid w:val="33F037EE"/>
    <w:rsid w:val="33FB723B"/>
    <w:rsid w:val="3411140A"/>
    <w:rsid w:val="34165B09"/>
    <w:rsid w:val="341851C3"/>
    <w:rsid w:val="34222484"/>
    <w:rsid w:val="3424698E"/>
    <w:rsid w:val="34272982"/>
    <w:rsid w:val="3430162D"/>
    <w:rsid w:val="34481147"/>
    <w:rsid w:val="344936A6"/>
    <w:rsid w:val="344A0B72"/>
    <w:rsid w:val="344C33D7"/>
    <w:rsid w:val="344E599A"/>
    <w:rsid w:val="34536F20"/>
    <w:rsid w:val="345968B4"/>
    <w:rsid w:val="345C435F"/>
    <w:rsid w:val="345C50E2"/>
    <w:rsid w:val="34601160"/>
    <w:rsid w:val="34650A83"/>
    <w:rsid w:val="3473466C"/>
    <w:rsid w:val="34760D43"/>
    <w:rsid w:val="34930C74"/>
    <w:rsid w:val="3494424C"/>
    <w:rsid w:val="349B0348"/>
    <w:rsid w:val="34A03BB2"/>
    <w:rsid w:val="34AE5128"/>
    <w:rsid w:val="34B76054"/>
    <w:rsid w:val="34B908EC"/>
    <w:rsid w:val="34C56444"/>
    <w:rsid w:val="34CD060D"/>
    <w:rsid w:val="34D439F3"/>
    <w:rsid w:val="34D52C79"/>
    <w:rsid w:val="34DE29D1"/>
    <w:rsid w:val="34E17942"/>
    <w:rsid w:val="34E75356"/>
    <w:rsid w:val="34F00266"/>
    <w:rsid w:val="34F7408B"/>
    <w:rsid w:val="35010494"/>
    <w:rsid w:val="35157087"/>
    <w:rsid w:val="352059AF"/>
    <w:rsid w:val="3523751C"/>
    <w:rsid w:val="35260146"/>
    <w:rsid w:val="35275A41"/>
    <w:rsid w:val="3533607B"/>
    <w:rsid w:val="35395200"/>
    <w:rsid w:val="353B6288"/>
    <w:rsid w:val="354614FF"/>
    <w:rsid w:val="354A2D4C"/>
    <w:rsid w:val="354D39B5"/>
    <w:rsid w:val="35677774"/>
    <w:rsid w:val="357B39ED"/>
    <w:rsid w:val="35837F6E"/>
    <w:rsid w:val="358E506D"/>
    <w:rsid w:val="35A15481"/>
    <w:rsid w:val="35B47B16"/>
    <w:rsid w:val="35C1105C"/>
    <w:rsid w:val="35C774C0"/>
    <w:rsid w:val="35D9610B"/>
    <w:rsid w:val="35E022D8"/>
    <w:rsid w:val="35E166E6"/>
    <w:rsid w:val="35E52AF5"/>
    <w:rsid w:val="35E532C6"/>
    <w:rsid w:val="35F918CD"/>
    <w:rsid w:val="3616174D"/>
    <w:rsid w:val="361E405D"/>
    <w:rsid w:val="362B308C"/>
    <w:rsid w:val="363307B3"/>
    <w:rsid w:val="3635005B"/>
    <w:rsid w:val="36586E09"/>
    <w:rsid w:val="365E122C"/>
    <w:rsid w:val="36681FC5"/>
    <w:rsid w:val="36733511"/>
    <w:rsid w:val="367474F8"/>
    <w:rsid w:val="36946077"/>
    <w:rsid w:val="369766DE"/>
    <w:rsid w:val="36993B70"/>
    <w:rsid w:val="369B4783"/>
    <w:rsid w:val="36BD1519"/>
    <w:rsid w:val="36C36A3B"/>
    <w:rsid w:val="36CB6681"/>
    <w:rsid w:val="36D021E0"/>
    <w:rsid w:val="36D10F93"/>
    <w:rsid w:val="36D74BC9"/>
    <w:rsid w:val="36DC7A4A"/>
    <w:rsid w:val="36DF5D1A"/>
    <w:rsid w:val="36E26FA0"/>
    <w:rsid w:val="36EA36F0"/>
    <w:rsid w:val="36F205A8"/>
    <w:rsid w:val="36F22B76"/>
    <w:rsid w:val="36F33985"/>
    <w:rsid w:val="36F4417E"/>
    <w:rsid w:val="36FE653D"/>
    <w:rsid w:val="36FF1EC8"/>
    <w:rsid w:val="37076A9B"/>
    <w:rsid w:val="370B7047"/>
    <w:rsid w:val="37241CCF"/>
    <w:rsid w:val="372A66D3"/>
    <w:rsid w:val="372D179A"/>
    <w:rsid w:val="372E5006"/>
    <w:rsid w:val="37321D6A"/>
    <w:rsid w:val="37357B16"/>
    <w:rsid w:val="37362DE4"/>
    <w:rsid w:val="37490460"/>
    <w:rsid w:val="374C2450"/>
    <w:rsid w:val="37556DD9"/>
    <w:rsid w:val="37571A89"/>
    <w:rsid w:val="376033CD"/>
    <w:rsid w:val="376A0ED8"/>
    <w:rsid w:val="37717401"/>
    <w:rsid w:val="37721667"/>
    <w:rsid w:val="377410DE"/>
    <w:rsid w:val="37764ED6"/>
    <w:rsid w:val="378A5AF5"/>
    <w:rsid w:val="378C25E8"/>
    <w:rsid w:val="37902DE3"/>
    <w:rsid w:val="37922EB7"/>
    <w:rsid w:val="37930187"/>
    <w:rsid w:val="37935642"/>
    <w:rsid w:val="37964748"/>
    <w:rsid w:val="37967B0C"/>
    <w:rsid w:val="37A30088"/>
    <w:rsid w:val="37BB542D"/>
    <w:rsid w:val="37C269A8"/>
    <w:rsid w:val="37CB5AC2"/>
    <w:rsid w:val="37CC478B"/>
    <w:rsid w:val="37D770DA"/>
    <w:rsid w:val="37DC5143"/>
    <w:rsid w:val="37DF0D0F"/>
    <w:rsid w:val="37DF2DEF"/>
    <w:rsid w:val="37F704C7"/>
    <w:rsid w:val="37F75F91"/>
    <w:rsid w:val="38006941"/>
    <w:rsid w:val="38024373"/>
    <w:rsid w:val="38063395"/>
    <w:rsid w:val="38085EC6"/>
    <w:rsid w:val="380D0712"/>
    <w:rsid w:val="38107ADB"/>
    <w:rsid w:val="381F6BAF"/>
    <w:rsid w:val="38434B1F"/>
    <w:rsid w:val="384358B1"/>
    <w:rsid w:val="384527BB"/>
    <w:rsid w:val="38465318"/>
    <w:rsid w:val="38482894"/>
    <w:rsid w:val="384A2047"/>
    <w:rsid w:val="384D3FA0"/>
    <w:rsid w:val="38597C3B"/>
    <w:rsid w:val="386C2AD1"/>
    <w:rsid w:val="388251DE"/>
    <w:rsid w:val="388664B5"/>
    <w:rsid w:val="388760E4"/>
    <w:rsid w:val="388974E0"/>
    <w:rsid w:val="389164F2"/>
    <w:rsid w:val="38927450"/>
    <w:rsid w:val="38934351"/>
    <w:rsid w:val="38953BD2"/>
    <w:rsid w:val="38A8677E"/>
    <w:rsid w:val="38B112C5"/>
    <w:rsid w:val="38C66D2F"/>
    <w:rsid w:val="38CD3549"/>
    <w:rsid w:val="38CE771E"/>
    <w:rsid w:val="38E42E78"/>
    <w:rsid w:val="38FF78E2"/>
    <w:rsid w:val="3909306B"/>
    <w:rsid w:val="390E5EBF"/>
    <w:rsid w:val="39166919"/>
    <w:rsid w:val="39176FEF"/>
    <w:rsid w:val="391A2AB5"/>
    <w:rsid w:val="392254C1"/>
    <w:rsid w:val="3928087E"/>
    <w:rsid w:val="39294F75"/>
    <w:rsid w:val="392C0F29"/>
    <w:rsid w:val="392D2247"/>
    <w:rsid w:val="393635E1"/>
    <w:rsid w:val="3941350E"/>
    <w:rsid w:val="395661A2"/>
    <w:rsid w:val="39596876"/>
    <w:rsid w:val="395A620D"/>
    <w:rsid w:val="395B4E7C"/>
    <w:rsid w:val="396546B4"/>
    <w:rsid w:val="396868A9"/>
    <w:rsid w:val="397728AF"/>
    <w:rsid w:val="397C057E"/>
    <w:rsid w:val="39874799"/>
    <w:rsid w:val="3988290C"/>
    <w:rsid w:val="3996232E"/>
    <w:rsid w:val="39B02E02"/>
    <w:rsid w:val="39B41BF7"/>
    <w:rsid w:val="39B6476D"/>
    <w:rsid w:val="39BD2CE4"/>
    <w:rsid w:val="39C04B1C"/>
    <w:rsid w:val="39C173A1"/>
    <w:rsid w:val="39DF1FE5"/>
    <w:rsid w:val="39E422C0"/>
    <w:rsid w:val="39F43C0B"/>
    <w:rsid w:val="39F966E3"/>
    <w:rsid w:val="3A055188"/>
    <w:rsid w:val="3A0C6E36"/>
    <w:rsid w:val="3A0E2DB9"/>
    <w:rsid w:val="3A14457E"/>
    <w:rsid w:val="3A1576A3"/>
    <w:rsid w:val="3A1A6983"/>
    <w:rsid w:val="3A1B34B3"/>
    <w:rsid w:val="3A211202"/>
    <w:rsid w:val="3A212DFB"/>
    <w:rsid w:val="3A225B02"/>
    <w:rsid w:val="3A25128B"/>
    <w:rsid w:val="3A257964"/>
    <w:rsid w:val="3A2A645A"/>
    <w:rsid w:val="3A36799A"/>
    <w:rsid w:val="3A3C69CD"/>
    <w:rsid w:val="3A4335F2"/>
    <w:rsid w:val="3A4643BE"/>
    <w:rsid w:val="3A475417"/>
    <w:rsid w:val="3A4C40FB"/>
    <w:rsid w:val="3A4D7A30"/>
    <w:rsid w:val="3A510F57"/>
    <w:rsid w:val="3A5138D2"/>
    <w:rsid w:val="3A5E2E76"/>
    <w:rsid w:val="3A6126E4"/>
    <w:rsid w:val="3A61358C"/>
    <w:rsid w:val="3A6149E3"/>
    <w:rsid w:val="3A6633D3"/>
    <w:rsid w:val="3A6B2A0C"/>
    <w:rsid w:val="3A731D57"/>
    <w:rsid w:val="3A733BC7"/>
    <w:rsid w:val="3A781C86"/>
    <w:rsid w:val="3A7930F2"/>
    <w:rsid w:val="3A7A343E"/>
    <w:rsid w:val="3A8328DC"/>
    <w:rsid w:val="3A836D8F"/>
    <w:rsid w:val="3A8421E4"/>
    <w:rsid w:val="3A8536A4"/>
    <w:rsid w:val="3A883996"/>
    <w:rsid w:val="3A970136"/>
    <w:rsid w:val="3A9D1686"/>
    <w:rsid w:val="3A9D35EB"/>
    <w:rsid w:val="3AA83EBA"/>
    <w:rsid w:val="3AA93C44"/>
    <w:rsid w:val="3AAF796B"/>
    <w:rsid w:val="3AB140D3"/>
    <w:rsid w:val="3ABA1EA7"/>
    <w:rsid w:val="3AC573A1"/>
    <w:rsid w:val="3AC61DC7"/>
    <w:rsid w:val="3ACB7183"/>
    <w:rsid w:val="3ACC216C"/>
    <w:rsid w:val="3ACE60C5"/>
    <w:rsid w:val="3ACF5C9F"/>
    <w:rsid w:val="3AD11F18"/>
    <w:rsid w:val="3AEA502B"/>
    <w:rsid w:val="3AEB6936"/>
    <w:rsid w:val="3AF0426B"/>
    <w:rsid w:val="3AF73C89"/>
    <w:rsid w:val="3AFA0DBF"/>
    <w:rsid w:val="3AFA7C07"/>
    <w:rsid w:val="3AFF711C"/>
    <w:rsid w:val="3B0314E3"/>
    <w:rsid w:val="3B08190D"/>
    <w:rsid w:val="3B0E10DC"/>
    <w:rsid w:val="3B0E383D"/>
    <w:rsid w:val="3B181A7B"/>
    <w:rsid w:val="3B183FD0"/>
    <w:rsid w:val="3B334393"/>
    <w:rsid w:val="3B380EAD"/>
    <w:rsid w:val="3B4565C3"/>
    <w:rsid w:val="3B47057C"/>
    <w:rsid w:val="3B492693"/>
    <w:rsid w:val="3B533E81"/>
    <w:rsid w:val="3B61091C"/>
    <w:rsid w:val="3B73286E"/>
    <w:rsid w:val="3B821B64"/>
    <w:rsid w:val="3B902B13"/>
    <w:rsid w:val="3B916D7D"/>
    <w:rsid w:val="3B9817CB"/>
    <w:rsid w:val="3B9D4730"/>
    <w:rsid w:val="3B9FB72E"/>
    <w:rsid w:val="3BB87F4F"/>
    <w:rsid w:val="3BCC6E73"/>
    <w:rsid w:val="3BCD16AB"/>
    <w:rsid w:val="3BEC2C0B"/>
    <w:rsid w:val="3BF96AAB"/>
    <w:rsid w:val="3BFB3487"/>
    <w:rsid w:val="3C025AE1"/>
    <w:rsid w:val="3C037F2D"/>
    <w:rsid w:val="3C0A6C57"/>
    <w:rsid w:val="3C0B781D"/>
    <w:rsid w:val="3C0E1D9E"/>
    <w:rsid w:val="3C1531E8"/>
    <w:rsid w:val="3C174ED9"/>
    <w:rsid w:val="3C1812A3"/>
    <w:rsid w:val="3C1D114B"/>
    <w:rsid w:val="3C270DE9"/>
    <w:rsid w:val="3C2F1649"/>
    <w:rsid w:val="3C321310"/>
    <w:rsid w:val="3C363B01"/>
    <w:rsid w:val="3C3814A4"/>
    <w:rsid w:val="3C3E7B1E"/>
    <w:rsid w:val="3C413AB9"/>
    <w:rsid w:val="3C450001"/>
    <w:rsid w:val="3C482EF7"/>
    <w:rsid w:val="3C4D414E"/>
    <w:rsid w:val="3C5D5C92"/>
    <w:rsid w:val="3C740C3F"/>
    <w:rsid w:val="3C7A775D"/>
    <w:rsid w:val="3C7C1095"/>
    <w:rsid w:val="3C814CC1"/>
    <w:rsid w:val="3C886E88"/>
    <w:rsid w:val="3C8F767E"/>
    <w:rsid w:val="3C990195"/>
    <w:rsid w:val="3CAE0197"/>
    <w:rsid w:val="3CBD68C4"/>
    <w:rsid w:val="3CDB316C"/>
    <w:rsid w:val="3CE412B1"/>
    <w:rsid w:val="3CE876A3"/>
    <w:rsid w:val="3CFB07BB"/>
    <w:rsid w:val="3CFE1FB6"/>
    <w:rsid w:val="3CFE2653"/>
    <w:rsid w:val="3D095630"/>
    <w:rsid w:val="3D0F26B8"/>
    <w:rsid w:val="3D162B53"/>
    <w:rsid w:val="3D182BD3"/>
    <w:rsid w:val="3D225B5C"/>
    <w:rsid w:val="3D2772FB"/>
    <w:rsid w:val="3D2D6A37"/>
    <w:rsid w:val="3D3D27EC"/>
    <w:rsid w:val="3D411EAD"/>
    <w:rsid w:val="3D49450F"/>
    <w:rsid w:val="3D571CC1"/>
    <w:rsid w:val="3D6E25E7"/>
    <w:rsid w:val="3D7160BD"/>
    <w:rsid w:val="3D734DA3"/>
    <w:rsid w:val="3D795A0B"/>
    <w:rsid w:val="3D7C7DBE"/>
    <w:rsid w:val="3D8F4EC6"/>
    <w:rsid w:val="3DA07672"/>
    <w:rsid w:val="3DC9203A"/>
    <w:rsid w:val="3DCD5B2F"/>
    <w:rsid w:val="3DED6A80"/>
    <w:rsid w:val="3DF36B3E"/>
    <w:rsid w:val="3E0558E9"/>
    <w:rsid w:val="3E0B48D9"/>
    <w:rsid w:val="3E0F361A"/>
    <w:rsid w:val="3E186DE5"/>
    <w:rsid w:val="3E1A72F2"/>
    <w:rsid w:val="3E1E134E"/>
    <w:rsid w:val="3E200340"/>
    <w:rsid w:val="3E230CA6"/>
    <w:rsid w:val="3E271CE3"/>
    <w:rsid w:val="3E2E2A71"/>
    <w:rsid w:val="3E3063B0"/>
    <w:rsid w:val="3E432864"/>
    <w:rsid w:val="3E466AE1"/>
    <w:rsid w:val="3E4A175D"/>
    <w:rsid w:val="3E535261"/>
    <w:rsid w:val="3E5557E7"/>
    <w:rsid w:val="3E555A65"/>
    <w:rsid w:val="3E55607A"/>
    <w:rsid w:val="3E612D08"/>
    <w:rsid w:val="3E623B02"/>
    <w:rsid w:val="3E6723C2"/>
    <w:rsid w:val="3E6747CA"/>
    <w:rsid w:val="3E82333B"/>
    <w:rsid w:val="3E8670B2"/>
    <w:rsid w:val="3E913A48"/>
    <w:rsid w:val="3E9564AD"/>
    <w:rsid w:val="3E9C31D8"/>
    <w:rsid w:val="3EA067A1"/>
    <w:rsid w:val="3EAF1EF2"/>
    <w:rsid w:val="3EB06A1B"/>
    <w:rsid w:val="3EBA6C23"/>
    <w:rsid w:val="3EBA7D43"/>
    <w:rsid w:val="3EC404C8"/>
    <w:rsid w:val="3EC93117"/>
    <w:rsid w:val="3EC97C33"/>
    <w:rsid w:val="3ED6511B"/>
    <w:rsid w:val="3EE219DA"/>
    <w:rsid w:val="3F1C67E9"/>
    <w:rsid w:val="3F2C6C45"/>
    <w:rsid w:val="3F395C77"/>
    <w:rsid w:val="3F3E3E17"/>
    <w:rsid w:val="3F3F31C0"/>
    <w:rsid w:val="3F4B5E37"/>
    <w:rsid w:val="3F4F28D5"/>
    <w:rsid w:val="3F4F7766"/>
    <w:rsid w:val="3F624C15"/>
    <w:rsid w:val="3F6F5614"/>
    <w:rsid w:val="3F852059"/>
    <w:rsid w:val="3F8E7C00"/>
    <w:rsid w:val="3F9966FE"/>
    <w:rsid w:val="3F9D0215"/>
    <w:rsid w:val="3FA85BFD"/>
    <w:rsid w:val="3FB173E3"/>
    <w:rsid w:val="3FB84354"/>
    <w:rsid w:val="3FBE4D00"/>
    <w:rsid w:val="3FCF1A6C"/>
    <w:rsid w:val="3FDA72B7"/>
    <w:rsid w:val="3FE0175A"/>
    <w:rsid w:val="3FE13E74"/>
    <w:rsid w:val="3FE4337A"/>
    <w:rsid w:val="3FF52ABE"/>
    <w:rsid w:val="3FFA197C"/>
    <w:rsid w:val="3FFE660D"/>
    <w:rsid w:val="40001F38"/>
    <w:rsid w:val="40026ECF"/>
    <w:rsid w:val="4014063D"/>
    <w:rsid w:val="40154992"/>
    <w:rsid w:val="401D3429"/>
    <w:rsid w:val="40211F37"/>
    <w:rsid w:val="40215D4D"/>
    <w:rsid w:val="40237E0C"/>
    <w:rsid w:val="402F56BF"/>
    <w:rsid w:val="40330E40"/>
    <w:rsid w:val="40360A70"/>
    <w:rsid w:val="40437A58"/>
    <w:rsid w:val="40552C9C"/>
    <w:rsid w:val="405E0F3E"/>
    <w:rsid w:val="406C392E"/>
    <w:rsid w:val="406C5D0D"/>
    <w:rsid w:val="406E00C4"/>
    <w:rsid w:val="4080650E"/>
    <w:rsid w:val="40813151"/>
    <w:rsid w:val="40921669"/>
    <w:rsid w:val="40975A78"/>
    <w:rsid w:val="409812C5"/>
    <w:rsid w:val="40AD6576"/>
    <w:rsid w:val="40B05AAD"/>
    <w:rsid w:val="40B07894"/>
    <w:rsid w:val="40B3559D"/>
    <w:rsid w:val="40B46EDA"/>
    <w:rsid w:val="40BC7E27"/>
    <w:rsid w:val="40BD03AA"/>
    <w:rsid w:val="40BF6A1A"/>
    <w:rsid w:val="40C037B1"/>
    <w:rsid w:val="40C71C1C"/>
    <w:rsid w:val="40D154A4"/>
    <w:rsid w:val="40D20119"/>
    <w:rsid w:val="40D519B8"/>
    <w:rsid w:val="40DE30B0"/>
    <w:rsid w:val="40DF74EA"/>
    <w:rsid w:val="40F665CC"/>
    <w:rsid w:val="40F75D29"/>
    <w:rsid w:val="40F87F25"/>
    <w:rsid w:val="41052FE0"/>
    <w:rsid w:val="410B0B55"/>
    <w:rsid w:val="41114BAD"/>
    <w:rsid w:val="411F2F8A"/>
    <w:rsid w:val="412575BA"/>
    <w:rsid w:val="41336B88"/>
    <w:rsid w:val="413B68CF"/>
    <w:rsid w:val="413C568B"/>
    <w:rsid w:val="41463436"/>
    <w:rsid w:val="414D77A0"/>
    <w:rsid w:val="41577F38"/>
    <w:rsid w:val="4158208C"/>
    <w:rsid w:val="41617DF3"/>
    <w:rsid w:val="416C0191"/>
    <w:rsid w:val="417117E8"/>
    <w:rsid w:val="417445D9"/>
    <w:rsid w:val="4174558D"/>
    <w:rsid w:val="41760255"/>
    <w:rsid w:val="417A1022"/>
    <w:rsid w:val="4185217E"/>
    <w:rsid w:val="419457B5"/>
    <w:rsid w:val="41954C8D"/>
    <w:rsid w:val="41A11B73"/>
    <w:rsid w:val="41BB23D7"/>
    <w:rsid w:val="41CA6CFC"/>
    <w:rsid w:val="41EB3DA2"/>
    <w:rsid w:val="41F17CB8"/>
    <w:rsid w:val="420C5CAC"/>
    <w:rsid w:val="421B0630"/>
    <w:rsid w:val="42296EB3"/>
    <w:rsid w:val="42334420"/>
    <w:rsid w:val="42350985"/>
    <w:rsid w:val="423B6004"/>
    <w:rsid w:val="42556EEE"/>
    <w:rsid w:val="4258495B"/>
    <w:rsid w:val="4258756C"/>
    <w:rsid w:val="425E7F2A"/>
    <w:rsid w:val="42616BB2"/>
    <w:rsid w:val="4265062F"/>
    <w:rsid w:val="4265277D"/>
    <w:rsid w:val="42666837"/>
    <w:rsid w:val="426F51D3"/>
    <w:rsid w:val="427236EE"/>
    <w:rsid w:val="427C01B9"/>
    <w:rsid w:val="428637A6"/>
    <w:rsid w:val="428E0FE0"/>
    <w:rsid w:val="429C634C"/>
    <w:rsid w:val="42A271DC"/>
    <w:rsid w:val="42A41EA2"/>
    <w:rsid w:val="42BD0774"/>
    <w:rsid w:val="42BF156C"/>
    <w:rsid w:val="42C752C8"/>
    <w:rsid w:val="42C9640A"/>
    <w:rsid w:val="42D31128"/>
    <w:rsid w:val="42DC5D74"/>
    <w:rsid w:val="42F4174E"/>
    <w:rsid w:val="42F85E34"/>
    <w:rsid w:val="430F171C"/>
    <w:rsid w:val="43111950"/>
    <w:rsid w:val="4323638A"/>
    <w:rsid w:val="432859E5"/>
    <w:rsid w:val="433528DD"/>
    <w:rsid w:val="433C537E"/>
    <w:rsid w:val="43422012"/>
    <w:rsid w:val="434749C8"/>
    <w:rsid w:val="43494B35"/>
    <w:rsid w:val="43553190"/>
    <w:rsid w:val="43584143"/>
    <w:rsid w:val="435A7DB9"/>
    <w:rsid w:val="43622312"/>
    <w:rsid w:val="436B09E1"/>
    <w:rsid w:val="43783093"/>
    <w:rsid w:val="437C650E"/>
    <w:rsid w:val="43871BE7"/>
    <w:rsid w:val="4387676B"/>
    <w:rsid w:val="438D26E2"/>
    <w:rsid w:val="43A6145E"/>
    <w:rsid w:val="43AA0EDA"/>
    <w:rsid w:val="43BA5B08"/>
    <w:rsid w:val="43C40FFF"/>
    <w:rsid w:val="43C434AE"/>
    <w:rsid w:val="43C55D14"/>
    <w:rsid w:val="43CF1DDE"/>
    <w:rsid w:val="43CF59DD"/>
    <w:rsid w:val="43D16466"/>
    <w:rsid w:val="43D34E13"/>
    <w:rsid w:val="43E13DF4"/>
    <w:rsid w:val="43FE2FD4"/>
    <w:rsid w:val="44033F09"/>
    <w:rsid w:val="440A1978"/>
    <w:rsid w:val="442F3344"/>
    <w:rsid w:val="443E22E1"/>
    <w:rsid w:val="44443AFA"/>
    <w:rsid w:val="44467A2B"/>
    <w:rsid w:val="444B036E"/>
    <w:rsid w:val="444E2A54"/>
    <w:rsid w:val="44537A15"/>
    <w:rsid w:val="445B21D4"/>
    <w:rsid w:val="44675C90"/>
    <w:rsid w:val="446B3DCC"/>
    <w:rsid w:val="446B6672"/>
    <w:rsid w:val="44747EFD"/>
    <w:rsid w:val="447823C5"/>
    <w:rsid w:val="447C7F75"/>
    <w:rsid w:val="448B30F2"/>
    <w:rsid w:val="44A55668"/>
    <w:rsid w:val="44A66832"/>
    <w:rsid w:val="44A90445"/>
    <w:rsid w:val="44AF72E9"/>
    <w:rsid w:val="44B5018B"/>
    <w:rsid w:val="44CA34F8"/>
    <w:rsid w:val="44CE4251"/>
    <w:rsid w:val="44D010F2"/>
    <w:rsid w:val="44D114DE"/>
    <w:rsid w:val="44D4050E"/>
    <w:rsid w:val="44D7690A"/>
    <w:rsid w:val="44E9493E"/>
    <w:rsid w:val="44F04CDB"/>
    <w:rsid w:val="44F83A5A"/>
    <w:rsid w:val="44FB4D6F"/>
    <w:rsid w:val="451851EA"/>
    <w:rsid w:val="45192C6B"/>
    <w:rsid w:val="452E27C1"/>
    <w:rsid w:val="4533021F"/>
    <w:rsid w:val="453D63E9"/>
    <w:rsid w:val="45463446"/>
    <w:rsid w:val="454637FC"/>
    <w:rsid w:val="454A37D1"/>
    <w:rsid w:val="455659F5"/>
    <w:rsid w:val="455B4211"/>
    <w:rsid w:val="45711F2E"/>
    <w:rsid w:val="457B7985"/>
    <w:rsid w:val="457D1BE6"/>
    <w:rsid w:val="45814910"/>
    <w:rsid w:val="45844AB3"/>
    <w:rsid w:val="45844E5B"/>
    <w:rsid w:val="458E31E4"/>
    <w:rsid w:val="45A66E06"/>
    <w:rsid w:val="45B64844"/>
    <w:rsid w:val="45B64B24"/>
    <w:rsid w:val="45B903F5"/>
    <w:rsid w:val="45B9081E"/>
    <w:rsid w:val="45BA1385"/>
    <w:rsid w:val="45C54463"/>
    <w:rsid w:val="45D571A6"/>
    <w:rsid w:val="45E745BD"/>
    <w:rsid w:val="45EC365D"/>
    <w:rsid w:val="45ED44D3"/>
    <w:rsid w:val="45F96537"/>
    <w:rsid w:val="45FB7B04"/>
    <w:rsid w:val="46003106"/>
    <w:rsid w:val="46076B1C"/>
    <w:rsid w:val="460B11C9"/>
    <w:rsid w:val="460B45DB"/>
    <w:rsid w:val="461260AE"/>
    <w:rsid w:val="461B7C78"/>
    <w:rsid w:val="462034B8"/>
    <w:rsid w:val="462A37F5"/>
    <w:rsid w:val="462C7B10"/>
    <w:rsid w:val="46302F5F"/>
    <w:rsid w:val="46326F64"/>
    <w:rsid w:val="46396545"/>
    <w:rsid w:val="463A157A"/>
    <w:rsid w:val="463F4CCB"/>
    <w:rsid w:val="464B6C1B"/>
    <w:rsid w:val="46575497"/>
    <w:rsid w:val="46664B34"/>
    <w:rsid w:val="466A0AF8"/>
    <w:rsid w:val="466A49F1"/>
    <w:rsid w:val="46756E93"/>
    <w:rsid w:val="46795A70"/>
    <w:rsid w:val="468713FB"/>
    <w:rsid w:val="469B1CAD"/>
    <w:rsid w:val="46A72C84"/>
    <w:rsid w:val="46B7226E"/>
    <w:rsid w:val="46BA0199"/>
    <w:rsid w:val="46BC1F18"/>
    <w:rsid w:val="46C32522"/>
    <w:rsid w:val="46C3786D"/>
    <w:rsid w:val="46C905A8"/>
    <w:rsid w:val="46D53F8D"/>
    <w:rsid w:val="46D778CC"/>
    <w:rsid w:val="46DE3850"/>
    <w:rsid w:val="46E4153B"/>
    <w:rsid w:val="46E65EB1"/>
    <w:rsid w:val="46ED340D"/>
    <w:rsid w:val="46F31D40"/>
    <w:rsid w:val="47102AF0"/>
    <w:rsid w:val="47171809"/>
    <w:rsid w:val="47193157"/>
    <w:rsid w:val="471E63DC"/>
    <w:rsid w:val="47281B4F"/>
    <w:rsid w:val="472C47ED"/>
    <w:rsid w:val="4730053C"/>
    <w:rsid w:val="47310D73"/>
    <w:rsid w:val="47326FD4"/>
    <w:rsid w:val="473411A1"/>
    <w:rsid w:val="47364547"/>
    <w:rsid w:val="474F578B"/>
    <w:rsid w:val="47562FC1"/>
    <w:rsid w:val="478843B5"/>
    <w:rsid w:val="47942502"/>
    <w:rsid w:val="47943B99"/>
    <w:rsid w:val="47996904"/>
    <w:rsid w:val="47A83975"/>
    <w:rsid w:val="47AD5194"/>
    <w:rsid w:val="47BA7E03"/>
    <w:rsid w:val="47BB042B"/>
    <w:rsid w:val="47C35E2E"/>
    <w:rsid w:val="47C9781B"/>
    <w:rsid w:val="47D217EA"/>
    <w:rsid w:val="47ED6235"/>
    <w:rsid w:val="47ED7FB8"/>
    <w:rsid w:val="47EF4992"/>
    <w:rsid w:val="47F25261"/>
    <w:rsid w:val="47FA19EB"/>
    <w:rsid w:val="47FE6683"/>
    <w:rsid w:val="48002FFB"/>
    <w:rsid w:val="48004F32"/>
    <w:rsid w:val="480268A5"/>
    <w:rsid w:val="481005D2"/>
    <w:rsid w:val="481468D6"/>
    <w:rsid w:val="48147183"/>
    <w:rsid w:val="48221FC4"/>
    <w:rsid w:val="48266A94"/>
    <w:rsid w:val="482876DD"/>
    <w:rsid w:val="482B2B30"/>
    <w:rsid w:val="482D260E"/>
    <w:rsid w:val="48343D9E"/>
    <w:rsid w:val="483536CC"/>
    <w:rsid w:val="483E13CC"/>
    <w:rsid w:val="485044C8"/>
    <w:rsid w:val="4860464F"/>
    <w:rsid w:val="486B5AD0"/>
    <w:rsid w:val="486D5C15"/>
    <w:rsid w:val="486E37AC"/>
    <w:rsid w:val="487351F5"/>
    <w:rsid w:val="48817956"/>
    <w:rsid w:val="488221CA"/>
    <w:rsid w:val="48955359"/>
    <w:rsid w:val="489E3DA4"/>
    <w:rsid w:val="48B463AA"/>
    <w:rsid w:val="48BE7614"/>
    <w:rsid w:val="48C13F3C"/>
    <w:rsid w:val="48C72E50"/>
    <w:rsid w:val="48D61598"/>
    <w:rsid w:val="48D63085"/>
    <w:rsid w:val="48D8675E"/>
    <w:rsid w:val="48DF0A7E"/>
    <w:rsid w:val="48ED63FC"/>
    <w:rsid w:val="48EE0E9A"/>
    <w:rsid w:val="48EF16B6"/>
    <w:rsid w:val="48F21A02"/>
    <w:rsid w:val="48F428E3"/>
    <w:rsid w:val="48F61647"/>
    <w:rsid w:val="48F85C9D"/>
    <w:rsid w:val="48F97253"/>
    <w:rsid w:val="48FB0896"/>
    <w:rsid w:val="48FE5CCE"/>
    <w:rsid w:val="48FF3517"/>
    <w:rsid w:val="4905183D"/>
    <w:rsid w:val="490E18B1"/>
    <w:rsid w:val="49131272"/>
    <w:rsid w:val="49151928"/>
    <w:rsid w:val="49155AD8"/>
    <w:rsid w:val="49196A4F"/>
    <w:rsid w:val="491A664F"/>
    <w:rsid w:val="491D42B6"/>
    <w:rsid w:val="49200F68"/>
    <w:rsid w:val="492326BF"/>
    <w:rsid w:val="49284610"/>
    <w:rsid w:val="492C2EA5"/>
    <w:rsid w:val="493A2039"/>
    <w:rsid w:val="49460A20"/>
    <w:rsid w:val="494B49BA"/>
    <w:rsid w:val="494D5D07"/>
    <w:rsid w:val="49525020"/>
    <w:rsid w:val="495F74E0"/>
    <w:rsid w:val="49730237"/>
    <w:rsid w:val="498A5302"/>
    <w:rsid w:val="49926698"/>
    <w:rsid w:val="49933528"/>
    <w:rsid w:val="49936149"/>
    <w:rsid w:val="49AE70D9"/>
    <w:rsid w:val="49B06976"/>
    <w:rsid w:val="49B44B46"/>
    <w:rsid w:val="49BE17C9"/>
    <w:rsid w:val="49C26B53"/>
    <w:rsid w:val="49CC248F"/>
    <w:rsid w:val="49D23CF0"/>
    <w:rsid w:val="49D5131F"/>
    <w:rsid w:val="49D716E6"/>
    <w:rsid w:val="49E024E4"/>
    <w:rsid w:val="49F7326E"/>
    <w:rsid w:val="4A062DE9"/>
    <w:rsid w:val="4A06433C"/>
    <w:rsid w:val="4A0849D9"/>
    <w:rsid w:val="4A1B3D4B"/>
    <w:rsid w:val="4A1F055E"/>
    <w:rsid w:val="4A214156"/>
    <w:rsid w:val="4A247CC9"/>
    <w:rsid w:val="4A28663C"/>
    <w:rsid w:val="4A2E7FD1"/>
    <w:rsid w:val="4A4E3DFD"/>
    <w:rsid w:val="4A586751"/>
    <w:rsid w:val="4A590B84"/>
    <w:rsid w:val="4A627EE6"/>
    <w:rsid w:val="4A7032BA"/>
    <w:rsid w:val="4A715D8E"/>
    <w:rsid w:val="4A791E3E"/>
    <w:rsid w:val="4A795159"/>
    <w:rsid w:val="4A7E4EA9"/>
    <w:rsid w:val="4A80254D"/>
    <w:rsid w:val="4A8C6205"/>
    <w:rsid w:val="4A8E10AE"/>
    <w:rsid w:val="4A8F42E4"/>
    <w:rsid w:val="4A9C2AE8"/>
    <w:rsid w:val="4A9F5CCC"/>
    <w:rsid w:val="4AA0735C"/>
    <w:rsid w:val="4AA15D3D"/>
    <w:rsid w:val="4AA259F0"/>
    <w:rsid w:val="4AA27A0E"/>
    <w:rsid w:val="4AA3421C"/>
    <w:rsid w:val="4AB43C01"/>
    <w:rsid w:val="4ACA63B6"/>
    <w:rsid w:val="4ACB79D9"/>
    <w:rsid w:val="4ACE6416"/>
    <w:rsid w:val="4AD17074"/>
    <w:rsid w:val="4ADF123A"/>
    <w:rsid w:val="4AE1491C"/>
    <w:rsid w:val="4AEE48ED"/>
    <w:rsid w:val="4AF07966"/>
    <w:rsid w:val="4B1527D7"/>
    <w:rsid w:val="4B1531E1"/>
    <w:rsid w:val="4B1C515B"/>
    <w:rsid w:val="4B26570B"/>
    <w:rsid w:val="4B2D7975"/>
    <w:rsid w:val="4B326261"/>
    <w:rsid w:val="4B3830B5"/>
    <w:rsid w:val="4B397C09"/>
    <w:rsid w:val="4B3E58E8"/>
    <w:rsid w:val="4B466287"/>
    <w:rsid w:val="4B475596"/>
    <w:rsid w:val="4B482A06"/>
    <w:rsid w:val="4B4D6562"/>
    <w:rsid w:val="4B4E6C2A"/>
    <w:rsid w:val="4B5B2430"/>
    <w:rsid w:val="4B5B339F"/>
    <w:rsid w:val="4B5E48A3"/>
    <w:rsid w:val="4B621A7A"/>
    <w:rsid w:val="4B710567"/>
    <w:rsid w:val="4B710922"/>
    <w:rsid w:val="4B765E7B"/>
    <w:rsid w:val="4B7E1055"/>
    <w:rsid w:val="4B8763E0"/>
    <w:rsid w:val="4B8914FB"/>
    <w:rsid w:val="4B9A57F8"/>
    <w:rsid w:val="4BB844D1"/>
    <w:rsid w:val="4BB87F0C"/>
    <w:rsid w:val="4BC17523"/>
    <w:rsid w:val="4BC3454D"/>
    <w:rsid w:val="4BD22B82"/>
    <w:rsid w:val="4BD26971"/>
    <w:rsid w:val="4BDA1CE7"/>
    <w:rsid w:val="4BDE69FD"/>
    <w:rsid w:val="4BEC1805"/>
    <w:rsid w:val="4BEF3A1C"/>
    <w:rsid w:val="4BFC0B58"/>
    <w:rsid w:val="4C0E608A"/>
    <w:rsid w:val="4C155AD0"/>
    <w:rsid w:val="4C2C0A86"/>
    <w:rsid w:val="4C325F04"/>
    <w:rsid w:val="4C3A5FA5"/>
    <w:rsid w:val="4C3C3A66"/>
    <w:rsid w:val="4C48430B"/>
    <w:rsid w:val="4C490641"/>
    <w:rsid w:val="4C494DFE"/>
    <w:rsid w:val="4C4D32AA"/>
    <w:rsid w:val="4C5B7215"/>
    <w:rsid w:val="4C5E3FC2"/>
    <w:rsid w:val="4C644527"/>
    <w:rsid w:val="4C69358E"/>
    <w:rsid w:val="4C697F90"/>
    <w:rsid w:val="4C6F6E2E"/>
    <w:rsid w:val="4C820E14"/>
    <w:rsid w:val="4C9058FC"/>
    <w:rsid w:val="4C966114"/>
    <w:rsid w:val="4C980103"/>
    <w:rsid w:val="4C995503"/>
    <w:rsid w:val="4C9A3F25"/>
    <w:rsid w:val="4CAC0074"/>
    <w:rsid w:val="4CAD6158"/>
    <w:rsid w:val="4CB37051"/>
    <w:rsid w:val="4CCA05B9"/>
    <w:rsid w:val="4CD57ADA"/>
    <w:rsid w:val="4CD744FE"/>
    <w:rsid w:val="4CE5759C"/>
    <w:rsid w:val="4CF052E4"/>
    <w:rsid w:val="4D136D57"/>
    <w:rsid w:val="4D176254"/>
    <w:rsid w:val="4D255E8C"/>
    <w:rsid w:val="4D2A24CB"/>
    <w:rsid w:val="4D41589A"/>
    <w:rsid w:val="4D4C014F"/>
    <w:rsid w:val="4D502AF2"/>
    <w:rsid w:val="4D521515"/>
    <w:rsid w:val="4D5C1F46"/>
    <w:rsid w:val="4D626553"/>
    <w:rsid w:val="4D681DBB"/>
    <w:rsid w:val="4D6B33F4"/>
    <w:rsid w:val="4D6C43F3"/>
    <w:rsid w:val="4D711B60"/>
    <w:rsid w:val="4D7872B9"/>
    <w:rsid w:val="4D7913FB"/>
    <w:rsid w:val="4D880E14"/>
    <w:rsid w:val="4DC173D7"/>
    <w:rsid w:val="4DC239BC"/>
    <w:rsid w:val="4DC40702"/>
    <w:rsid w:val="4DCD33A4"/>
    <w:rsid w:val="4DCF0FD4"/>
    <w:rsid w:val="4DD40809"/>
    <w:rsid w:val="4DEA69A3"/>
    <w:rsid w:val="4E0F33B8"/>
    <w:rsid w:val="4E102A5F"/>
    <w:rsid w:val="4E165BEC"/>
    <w:rsid w:val="4E1F112F"/>
    <w:rsid w:val="4E234B20"/>
    <w:rsid w:val="4E2364F3"/>
    <w:rsid w:val="4E242F6A"/>
    <w:rsid w:val="4E250D5B"/>
    <w:rsid w:val="4E370FD1"/>
    <w:rsid w:val="4E41044C"/>
    <w:rsid w:val="4E473EF5"/>
    <w:rsid w:val="4E4C4D02"/>
    <w:rsid w:val="4E537BD6"/>
    <w:rsid w:val="4E70513D"/>
    <w:rsid w:val="4E727261"/>
    <w:rsid w:val="4E7D35D7"/>
    <w:rsid w:val="4E7D763C"/>
    <w:rsid w:val="4E82604E"/>
    <w:rsid w:val="4E916821"/>
    <w:rsid w:val="4E920EDF"/>
    <w:rsid w:val="4E9B4846"/>
    <w:rsid w:val="4EA2737D"/>
    <w:rsid w:val="4EA43530"/>
    <w:rsid w:val="4EA46F3C"/>
    <w:rsid w:val="4EB24F52"/>
    <w:rsid w:val="4EB31504"/>
    <w:rsid w:val="4EB91539"/>
    <w:rsid w:val="4EB946C7"/>
    <w:rsid w:val="4EC937A7"/>
    <w:rsid w:val="4ECB02EB"/>
    <w:rsid w:val="4ECC29F4"/>
    <w:rsid w:val="4EE554BC"/>
    <w:rsid w:val="4EE62F49"/>
    <w:rsid w:val="4EF10A1B"/>
    <w:rsid w:val="4EF5035D"/>
    <w:rsid w:val="4EFD0739"/>
    <w:rsid w:val="4F194958"/>
    <w:rsid w:val="4F196F13"/>
    <w:rsid w:val="4F1E1D66"/>
    <w:rsid w:val="4F1F0CAC"/>
    <w:rsid w:val="4F224952"/>
    <w:rsid w:val="4F321548"/>
    <w:rsid w:val="4F3E60C9"/>
    <w:rsid w:val="4F3F5DFD"/>
    <w:rsid w:val="4F457EF1"/>
    <w:rsid w:val="4F5E7D7D"/>
    <w:rsid w:val="4F5F6D40"/>
    <w:rsid w:val="4F694731"/>
    <w:rsid w:val="4F6E000A"/>
    <w:rsid w:val="4F713FD1"/>
    <w:rsid w:val="4F722F90"/>
    <w:rsid w:val="4F7270B1"/>
    <w:rsid w:val="4F770F75"/>
    <w:rsid w:val="4F781E8C"/>
    <w:rsid w:val="4F7F0D6F"/>
    <w:rsid w:val="4F842A74"/>
    <w:rsid w:val="4F86424F"/>
    <w:rsid w:val="4F8B44E4"/>
    <w:rsid w:val="4F962852"/>
    <w:rsid w:val="4F972C27"/>
    <w:rsid w:val="4F9C6B18"/>
    <w:rsid w:val="4F9D15F8"/>
    <w:rsid w:val="4FAB04B3"/>
    <w:rsid w:val="4FB22E83"/>
    <w:rsid w:val="4FB42E41"/>
    <w:rsid w:val="4FBA295A"/>
    <w:rsid w:val="4FD1139D"/>
    <w:rsid w:val="4FD614E4"/>
    <w:rsid w:val="4FE528A1"/>
    <w:rsid w:val="4FE9643A"/>
    <w:rsid w:val="4FF07281"/>
    <w:rsid w:val="4FFA1384"/>
    <w:rsid w:val="5005473F"/>
    <w:rsid w:val="501C007E"/>
    <w:rsid w:val="50282BE0"/>
    <w:rsid w:val="50361820"/>
    <w:rsid w:val="503C34C8"/>
    <w:rsid w:val="504A0BE2"/>
    <w:rsid w:val="505266BC"/>
    <w:rsid w:val="50553A99"/>
    <w:rsid w:val="50572CB4"/>
    <w:rsid w:val="505B6815"/>
    <w:rsid w:val="505E7156"/>
    <w:rsid w:val="506D66EE"/>
    <w:rsid w:val="507407A1"/>
    <w:rsid w:val="5077292C"/>
    <w:rsid w:val="507B176C"/>
    <w:rsid w:val="50853AC0"/>
    <w:rsid w:val="508B3032"/>
    <w:rsid w:val="50942059"/>
    <w:rsid w:val="50945F4E"/>
    <w:rsid w:val="509D39F7"/>
    <w:rsid w:val="50AF4536"/>
    <w:rsid w:val="50B079EF"/>
    <w:rsid w:val="50B7737A"/>
    <w:rsid w:val="50BA4944"/>
    <w:rsid w:val="50C116FC"/>
    <w:rsid w:val="50CC52DB"/>
    <w:rsid w:val="50D34045"/>
    <w:rsid w:val="50E51AF7"/>
    <w:rsid w:val="50EE363A"/>
    <w:rsid w:val="50EF5DA5"/>
    <w:rsid w:val="50F21677"/>
    <w:rsid w:val="51075AFF"/>
    <w:rsid w:val="51197842"/>
    <w:rsid w:val="511A1D51"/>
    <w:rsid w:val="5124608E"/>
    <w:rsid w:val="5128226F"/>
    <w:rsid w:val="51297FE2"/>
    <w:rsid w:val="512B0FD8"/>
    <w:rsid w:val="512C73E0"/>
    <w:rsid w:val="5134062B"/>
    <w:rsid w:val="51372F74"/>
    <w:rsid w:val="513A401F"/>
    <w:rsid w:val="513A6491"/>
    <w:rsid w:val="513A71AB"/>
    <w:rsid w:val="516E7562"/>
    <w:rsid w:val="51741265"/>
    <w:rsid w:val="517548C0"/>
    <w:rsid w:val="517878B8"/>
    <w:rsid w:val="517F386A"/>
    <w:rsid w:val="518936BD"/>
    <w:rsid w:val="518965D2"/>
    <w:rsid w:val="518A4E1B"/>
    <w:rsid w:val="518A5F18"/>
    <w:rsid w:val="5195480C"/>
    <w:rsid w:val="519B08E9"/>
    <w:rsid w:val="51A20BF7"/>
    <w:rsid w:val="51A84704"/>
    <w:rsid w:val="51AA3004"/>
    <w:rsid w:val="51B368B4"/>
    <w:rsid w:val="51B62FFF"/>
    <w:rsid w:val="51BE2CDC"/>
    <w:rsid w:val="51BF4E35"/>
    <w:rsid w:val="51CE5523"/>
    <w:rsid w:val="51D24A98"/>
    <w:rsid w:val="51E53C91"/>
    <w:rsid w:val="51ED53B9"/>
    <w:rsid w:val="51F81FF0"/>
    <w:rsid w:val="51FC659D"/>
    <w:rsid w:val="51FE437A"/>
    <w:rsid w:val="5201085F"/>
    <w:rsid w:val="52216A84"/>
    <w:rsid w:val="52261638"/>
    <w:rsid w:val="522A3FA5"/>
    <w:rsid w:val="5231443B"/>
    <w:rsid w:val="52343811"/>
    <w:rsid w:val="5234533E"/>
    <w:rsid w:val="5248101A"/>
    <w:rsid w:val="524C1DDC"/>
    <w:rsid w:val="524D65FA"/>
    <w:rsid w:val="52604287"/>
    <w:rsid w:val="52887D4C"/>
    <w:rsid w:val="528C3BEC"/>
    <w:rsid w:val="529748F9"/>
    <w:rsid w:val="529E6D7A"/>
    <w:rsid w:val="52AC7C02"/>
    <w:rsid w:val="52B071DE"/>
    <w:rsid w:val="52B4142D"/>
    <w:rsid w:val="52B51967"/>
    <w:rsid w:val="52BA2357"/>
    <w:rsid w:val="52BB4183"/>
    <w:rsid w:val="52C06243"/>
    <w:rsid w:val="52C26F6E"/>
    <w:rsid w:val="52C61124"/>
    <w:rsid w:val="52D10F34"/>
    <w:rsid w:val="52D23A32"/>
    <w:rsid w:val="52D43226"/>
    <w:rsid w:val="52D54C1A"/>
    <w:rsid w:val="52D80DFE"/>
    <w:rsid w:val="52E26145"/>
    <w:rsid w:val="52E712F0"/>
    <w:rsid w:val="52E84942"/>
    <w:rsid w:val="52EA7E01"/>
    <w:rsid w:val="53053B29"/>
    <w:rsid w:val="53210509"/>
    <w:rsid w:val="53283128"/>
    <w:rsid w:val="534243AE"/>
    <w:rsid w:val="534A0C18"/>
    <w:rsid w:val="53567599"/>
    <w:rsid w:val="53670158"/>
    <w:rsid w:val="536967C5"/>
    <w:rsid w:val="537523D9"/>
    <w:rsid w:val="53765176"/>
    <w:rsid w:val="538E6B22"/>
    <w:rsid w:val="538F71E4"/>
    <w:rsid w:val="53903881"/>
    <w:rsid w:val="53945189"/>
    <w:rsid w:val="53954E9E"/>
    <w:rsid w:val="53971FF4"/>
    <w:rsid w:val="539B3F41"/>
    <w:rsid w:val="539D691D"/>
    <w:rsid w:val="53AA3E15"/>
    <w:rsid w:val="53C20EC8"/>
    <w:rsid w:val="53C81A30"/>
    <w:rsid w:val="53DA11A0"/>
    <w:rsid w:val="53DB746A"/>
    <w:rsid w:val="53E53507"/>
    <w:rsid w:val="53E62ACC"/>
    <w:rsid w:val="53E90D04"/>
    <w:rsid w:val="53EC01C6"/>
    <w:rsid w:val="53ED6A81"/>
    <w:rsid w:val="53F10DE7"/>
    <w:rsid w:val="53F50B56"/>
    <w:rsid w:val="53F835D1"/>
    <w:rsid w:val="54014AC9"/>
    <w:rsid w:val="54057183"/>
    <w:rsid w:val="542112E0"/>
    <w:rsid w:val="5427660F"/>
    <w:rsid w:val="542D78E3"/>
    <w:rsid w:val="54464C0B"/>
    <w:rsid w:val="54472A5F"/>
    <w:rsid w:val="54476CAC"/>
    <w:rsid w:val="54515951"/>
    <w:rsid w:val="54562F7D"/>
    <w:rsid w:val="546A037A"/>
    <w:rsid w:val="546F6A2B"/>
    <w:rsid w:val="5479741D"/>
    <w:rsid w:val="547F679D"/>
    <w:rsid w:val="54882740"/>
    <w:rsid w:val="54924D6F"/>
    <w:rsid w:val="54946DC5"/>
    <w:rsid w:val="54A15589"/>
    <w:rsid w:val="54A26E0E"/>
    <w:rsid w:val="54AB4A98"/>
    <w:rsid w:val="54BE0A46"/>
    <w:rsid w:val="54CA375A"/>
    <w:rsid w:val="54CC5208"/>
    <w:rsid w:val="54CF202C"/>
    <w:rsid w:val="54D27A2A"/>
    <w:rsid w:val="54D639EA"/>
    <w:rsid w:val="54D7150D"/>
    <w:rsid w:val="54DC0358"/>
    <w:rsid w:val="54E034C5"/>
    <w:rsid w:val="54EF6301"/>
    <w:rsid w:val="54F25378"/>
    <w:rsid w:val="54F6007C"/>
    <w:rsid w:val="54FE2A39"/>
    <w:rsid w:val="550672CD"/>
    <w:rsid w:val="550A1C73"/>
    <w:rsid w:val="550A2167"/>
    <w:rsid w:val="55134ABB"/>
    <w:rsid w:val="55254864"/>
    <w:rsid w:val="55285517"/>
    <w:rsid w:val="55334206"/>
    <w:rsid w:val="553A662B"/>
    <w:rsid w:val="553E534F"/>
    <w:rsid w:val="554967A4"/>
    <w:rsid w:val="554A754D"/>
    <w:rsid w:val="55535B83"/>
    <w:rsid w:val="555F1DE8"/>
    <w:rsid w:val="556045C3"/>
    <w:rsid w:val="5567169E"/>
    <w:rsid w:val="55774444"/>
    <w:rsid w:val="557D5565"/>
    <w:rsid w:val="557E7F7D"/>
    <w:rsid w:val="557F6C0E"/>
    <w:rsid w:val="55980FD6"/>
    <w:rsid w:val="559F10E1"/>
    <w:rsid w:val="55B20BAA"/>
    <w:rsid w:val="55B246A6"/>
    <w:rsid w:val="55B4239B"/>
    <w:rsid w:val="55BD4182"/>
    <w:rsid w:val="55C4507E"/>
    <w:rsid w:val="55C62FAD"/>
    <w:rsid w:val="55DC14F2"/>
    <w:rsid w:val="55E14252"/>
    <w:rsid w:val="560211F0"/>
    <w:rsid w:val="561B16C9"/>
    <w:rsid w:val="561C2C60"/>
    <w:rsid w:val="56295658"/>
    <w:rsid w:val="5635053D"/>
    <w:rsid w:val="56367D1C"/>
    <w:rsid w:val="563717C3"/>
    <w:rsid w:val="563B68EC"/>
    <w:rsid w:val="5643608E"/>
    <w:rsid w:val="56453675"/>
    <w:rsid w:val="564A72F2"/>
    <w:rsid w:val="564D4072"/>
    <w:rsid w:val="56514A2E"/>
    <w:rsid w:val="56515BE3"/>
    <w:rsid w:val="565606AB"/>
    <w:rsid w:val="565C352F"/>
    <w:rsid w:val="56670BF6"/>
    <w:rsid w:val="567644AE"/>
    <w:rsid w:val="5682295F"/>
    <w:rsid w:val="568478FF"/>
    <w:rsid w:val="568B3D0C"/>
    <w:rsid w:val="5691645F"/>
    <w:rsid w:val="56950B81"/>
    <w:rsid w:val="569D6EAE"/>
    <w:rsid w:val="56A22E23"/>
    <w:rsid w:val="56A67D62"/>
    <w:rsid w:val="56A82D58"/>
    <w:rsid w:val="56BC0932"/>
    <w:rsid w:val="56C40A9C"/>
    <w:rsid w:val="56C93096"/>
    <w:rsid w:val="56D00F2F"/>
    <w:rsid w:val="56DA167E"/>
    <w:rsid w:val="56DD07D0"/>
    <w:rsid w:val="56E872AE"/>
    <w:rsid w:val="56EC039A"/>
    <w:rsid w:val="56EF332A"/>
    <w:rsid w:val="56F729E7"/>
    <w:rsid w:val="56F91B79"/>
    <w:rsid w:val="56FE627A"/>
    <w:rsid w:val="57037963"/>
    <w:rsid w:val="570B1109"/>
    <w:rsid w:val="570B6628"/>
    <w:rsid w:val="57167E00"/>
    <w:rsid w:val="571E12FD"/>
    <w:rsid w:val="57222951"/>
    <w:rsid w:val="572F54A2"/>
    <w:rsid w:val="57310475"/>
    <w:rsid w:val="57363F6E"/>
    <w:rsid w:val="573B21A2"/>
    <w:rsid w:val="573C0EB8"/>
    <w:rsid w:val="573C1034"/>
    <w:rsid w:val="574C243C"/>
    <w:rsid w:val="576454D8"/>
    <w:rsid w:val="57652077"/>
    <w:rsid w:val="576E016C"/>
    <w:rsid w:val="577F481A"/>
    <w:rsid w:val="57801A17"/>
    <w:rsid w:val="57813957"/>
    <w:rsid w:val="57933FF6"/>
    <w:rsid w:val="5798191B"/>
    <w:rsid w:val="579857F4"/>
    <w:rsid w:val="579B13D9"/>
    <w:rsid w:val="57A72AD7"/>
    <w:rsid w:val="57B14FC1"/>
    <w:rsid w:val="57BC7230"/>
    <w:rsid w:val="57BF3EA3"/>
    <w:rsid w:val="57C245EC"/>
    <w:rsid w:val="57C32FBB"/>
    <w:rsid w:val="57C42F9F"/>
    <w:rsid w:val="57D16123"/>
    <w:rsid w:val="57D821BC"/>
    <w:rsid w:val="57DC7DE2"/>
    <w:rsid w:val="57ED0F3D"/>
    <w:rsid w:val="57EF029B"/>
    <w:rsid w:val="57FD0D39"/>
    <w:rsid w:val="58072D58"/>
    <w:rsid w:val="58082A46"/>
    <w:rsid w:val="580E17B6"/>
    <w:rsid w:val="58117364"/>
    <w:rsid w:val="58265805"/>
    <w:rsid w:val="583C4C53"/>
    <w:rsid w:val="58563172"/>
    <w:rsid w:val="58603E42"/>
    <w:rsid w:val="5860469E"/>
    <w:rsid w:val="586A54F9"/>
    <w:rsid w:val="586E6E66"/>
    <w:rsid w:val="587840FF"/>
    <w:rsid w:val="587A23D0"/>
    <w:rsid w:val="587E314B"/>
    <w:rsid w:val="587F489A"/>
    <w:rsid w:val="58864762"/>
    <w:rsid w:val="588F6543"/>
    <w:rsid w:val="58A226A4"/>
    <w:rsid w:val="58A807C1"/>
    <w:rsid w:val="58AD6AA4"/>
    <w:rsid w:val="58C77675"/>
    <w:rsid w:val="58C82344"/>
    <w:rsid w:val="58E23F0B"/>
    <w:rsid w:val="58E45483"/>
    <w:rsid w:val="58ED10A3"/>
    <w:rsid w:val="58ED4908"/>
    <w:rsid w:val="58F900B1"/>
    <w:rsid w:val="58FB7CFB"/>
    <w:rsid w:val="58FD7986"/>
    <w:rsid w:val="59057606"/>
    <w:rsid w:val="59081B22"/>
    <w:rsid w:val="590F1AB3"/>
    <w:rsid w:val="591A043D"/>
    <w:rsid w:val="591A2F61"/>
    <w:rsid w:val="5924760A"/>
    <w:rsid w:val="59273FF4"/>
    <w:rsid w:val="593C141D"/>
    <w:rsid w:val="593C1C8A"/>
    <w:rsid w:val="593F0CFA"/>
    <w:rsid w:val="59480CB3"/>
    <w:rsid w:val="594C6863"/>
    <w:rsid w:val="59552BB7"/>
    <w:rsid w:val="596576F9"/>
    <w:rsid w:val="596756FB"/>
    <w:rsid w:val="598336D3"/>
    <w:rsid w:val="59925803"/>
    <w:rsid w:val="59973CBB"/>
    <w:rsid w:val="599864B6"/>
    <w:rsid w:val="599C2849"/>
    <w:rsid w:val="59A0289D"/>
    <w:rsid w:val="59AF5DC1"/>
    <w:rsid w:val="59C56A30"/>
    <w:rsid w:val="59CF0F6F"/>
    <w:rsid w:val="59CF2772"/>
    <w:rsid w:val="59CF656F"/>
    <w:rsid w:val="59D2663D"/>
    <w:rsid w:val="59D80F46"/>
    <w:rsid w:val="59DA1F80"/>
    <w:rsid w:val="59ED3B16"/>
    <w:rsid w:val="59FB2BC2"/>
    <w:rsid w:val="59FC6CE7"/>
    <w:rsid w:val="5A09391D"/>
    <w:rsid w:val="5A0B7542"/>
    <w:rsid w:val="5A183131"/>
    <w:rsid w:val="5A2624B1"/>
    <w:rsid w:val="5A290061"/>
    <w:rsid w:val="5A2A0227"/>
    <w:rsid w:val="5A2E3B94"/>
    <w:rsid w:val="5A2E71BC"/>
    <w:rsid w:val="5A4C5C31"/>
    <w:rsid w:val="5A557A03"/>
    <w:rsid w:val="5A5925E7"/>
    <w:rsid w:val="5A6155F5"/>
    <w:rsid w:val="5A663032"/>
    <w:rsid w:val="5A7A2F5C"/>
    <w:rsid w:val="5A865384"/>
    <w:rsid w:val="5A8B3B7F"/>
    <w:rsid w:val="5A8E08AF"/>
    <w:rsid w:val="5A8F6234"/>
    <w:rsid w:val="5A9F04D5"/>
    <w:rsid w:val="5AA26640"/>
    <w:rsid w:val="5AA37765"/>
    <w:rsid w:val="5AAE7ABC"/>
    <w:rsid w:val="5AB021FD"/>
    <w:rsid w:val="5AB2537B"/>
    <w:rsid w:val="5AC17004"/>
    <w:rsid w:val="5ACF2B4E"/>
    <w:rsid w:val="5AD47EA5"/>
    <w:rsid w:val="5AD826F2"/>
    <w:rsid w:val="5AE1284E"/>
    <w:rsid w:val="5AE505C0"/>
    <w:rsid w:val="5AEF508F"/>
    <w:rsid w:val="5AF03776"/>
    <w:rsid w:val="5AF12978"/>
    <w:rsid w:val="5AF934AD"/>
    <w:rsid w:val="5B024E5E"/>
    <w:rsid w:val="5B0A4B6A"/>
    <w:rsid w:val="5B1D3DBF"/>
    <w:rsid w:val="5B230DC7"/>
    <w:rsid w:val="5B2E2659"/>
    <w:rsid w:val="5B3416B7"/>
    <w:rsid w:val="5B375140"/>
    <w:rsid w:val="5B3959ED"/>
    <w:rsid w:val="5B53220B"/>
    <w:rsid w:val="5B5748F6"/>
    <w:rsid w:val="5B5E6610"/>
    <w:rsid w:val="5B71733D"/>
    <w:rsid w:val="5B735E1B"/>
    <w:rsid w:val="5B7D0364"/>
    <w:rsid w:val="5B846AA8"/>
    <w:rsid w:val="5B8E7B09"/>
    <w:rsid w:val="5B9136AC"/>
    <w:rsid w:val="5B9D0AA5"/>
    <w:rsid w:val="5BA03E84"/>
    <w:rsid w:val="5BA35B5A"/>
    <w:rsid w:val="5BAD508D"/>
    <w:rsid w:val="5BB212ED"/>
    <w:rsid w:val="5BB237AA"/>
    <w:rsid w:val="5BB755F1"/>
    <w:rsid w:val="5BB93221"/>
    <w:rsid w:val="5BBB3FA9"/>
    <w:rsid w:val="5BC24519"/>
    <w:rsid w:val="5BC6546D"/>
    <w:rsid w:val="5BC811B7"/>
    <w:rsid w:val="5BC8306F"/>
    <w:rsid w:val="5BCF58FB"/>
    <w:rsid w:val="5BD347B4"/>
    <w:rsid w:val="5BE52B6E"/>
    <w:rsid w:val="5BED194B"/>
    <w:rsid w:val="5BF650D9"/>
    <w:rsid w:val="5BFC33FA"/>
    <w:rsid w:val="5C0933D8"/>
    <w:rsid w:val="5C0A3627"/>
    <w:rsid w:val="5C111F66"/>
    <w:rsid w:val="5C12553D"/>
    <w:rsid w:val="5C127D1B"/>
    <w:rsid w:val="5C1377E6"/>
    <w:rsid w:val="5C1F5EE0"/>
    <w:rsid w:val="5C233218"/>
    <w:rsid w:val="5C2D2437"/>
    <w:rsid w:val="5C341AB7"/>
    <w:rsid w:val="5C3F18E4"/>
    <w:rsid w:val="5C3F26AF"/>
    <w:rsid w:val="5C441A74"/>
    <w:rsid w:val="5C4D2A65"/>
    <w:rsid w:val="5C5A791C"/>
    <w:rsid w:val="5C5E0A68"/>
    <w:rsid w:val="5C5E2199"/>
    <w:rsid w:val="5C674746"/>
    <w:rsid w:val="5C84622D"/>
    <w:rsid w:val="5C8E39D4"/>
    <w:rsid w:val="5C920E2D"/>
    <w:rsid w:val="5C96682B"/>
    <w:rsid w:val="5CA26C90"/>
    <w:rsid w:val="5CB25AC9"/>
    <w:rsid w:val="5CB808B3"/>
    <w:rsid w:val="5CD151D9"/>
    <w:rsid w:val="5CD813BE"/>
    <w:rsid w:val="5CE27519"/>
    <w:rsid w:val="5CEE20EE"/>
    <w:rsid w:val="5CFA1731"/>
    <w:rsid w:val="5D00442E"/>
    <w:rsid w:val="5D0F2C34"/>
    <w:rsid w:val="5D166517"/>
    <w:rsid w:val="5D183D40"/>
    <w:rsid w:val="5D226D42"/>
    <w:rsid w:val="5D3A7478"/>
    <w:rsid w:val="5D3E7093"/>
    <w:rsid w:val="5D421537"/>
    <w:rsid w:val="5D446DDA"/>
    <w:rsid w:val="5D4D3A9A"/>
    <w:rsid w:val="5D502A26"/>
    <w:rsid w:val="5D5F2AFD"/>
    <w:rsid w:val="5D622043"/>
    <w:rsid w:val="5D6715E7"/>
    <w:rsid w:val="5D7D1D92"/>
    <w:rsid w:val="5D8427BF"/>
    <w:rsid w:val="5D861B29"/>
    <w:rsid w:val="5D93012F"/>
    <w:rsid w:val="5D9A3952"/>
    <w:rsid w:val="5DA219D2"/>
    <w:rsid w:val="5DA62130"/>
    <w:rsid w:val="5DA971C1"/>
    <w:rsid w:val="5DB0102E"/>
    <w:rsid w:val="5DC02967"/>
    <w:rsid w:val="5DC2714C"/>
    <w:rsid w:val="5DCF5236"/>
    <w:rsid w:val="5DD13BA7"/>
    <w:rsid w:val="5DD63C5C"/>
    <w:rsid w:val="5DDF6D34"/>
    <w:rsid w:val="5DE118D6"/>
    <w:rsid w:val="5DE14183"/>
    <w:rsid w:val="5DEC2430"/>
    <w:rsid w:val="5E154702"/>
    <w:rsid w:val="5E177307"/>
    <w:rsid w:val="5E1F023A"/>
    <w:rsid w:val="5E1F6E17"/>
    <w:rsid w:val="5E2368E7"/>
    <w:rsid w:val="5E2E002D"/>
    <w:rsid w:val="5E3018CB"/>
    <w:rsid w:val="5E3F73DB"/>
    <w:rsid w:val="5E42375A"/>
    <w:rsid w:val="5E4F1DFE"/>
    <w:rsid w:val="5E6807E3"/>
    <w:rsid w:val="5E7725C5"/>
    <w:rsid w:val="5E800D5D"/>
    <w:rsid w:val="5E9E097D"/>
    <w:rsid w:val="5EA2523B"/>
    <w:rsid w:val="5EB5740F"/>
    <w:rsid w:val="5EB8363A"/>
    <w:rsid w:val="5EBB3349"/>
    <w:rsid w:val="5EBB667D"/>
    <w:rsid w:val="5EC56D3B"/>
    <w:rsid w:val="5ECE1025"/>
    <w:rsid w:val="5ED86CBA"/>
    <w:rsid w:val="5EDC6D53"/>
    <w:rsid w:val="5EE523F6"/>
    <w:rsid w:val="5EE80729"/>
    <w:rsid w:val="5EE906B0"/>
    <w:rsid w:val="5F015024"/>
    <w:rsid w:val="5F057798"/>
    <w:rsid w:val="5F084EB4"/>
    <w:rsid w:val="5F1D468A"/>
    <w:rsid w:val="5F2D46EB"/>
    <w:rsid w:val="5F2F78D0"/>
    <w:rsid w:val="5F320293"/>
    <w:rsid w:val="5F3318E4"/>
    <w:rsid w:val="5F390DDE"/>
    <w:rsid w:val="5F3A4A1D"/>
    <w:rsid w:val="5F403B80"/>
    <w:rsid w:val="5F4B7978"/>
    <w:rsid w:val="5F5A7800"/>
    <w:rsid w:val="5F5E5E76"/>
    <w:rsid w:val="5F7113B2"/>
    <w:rsid w:val="5F722C26"/>
    <w:rsid w:val="5F751F44"/>
    <w:rsid w:val="5F772407"/>
    <w:rsid w:val="5F7772F7"/>
    <w:rsid w:val="5F7B5479"/>
    <w:rsid w:val="5F7E4A33"/>
    <w:rsid w:val="5F96577E"/>
    <w:rsid w:val="5F995D61"/>
    <w:rsid w:val="5F9B4479"/>
    <w:rsid w:val="5F9D47F0"/>
    <w:rsid w:val="5FA100A9"/>
    <w:rsid w:val="5FA5055A"/>
    <w:rsid w:val="5FAA1241"/>
    <w:rsid w:val="5FAD7E9C"/>
    <w:rsid w:val="5FAE7F4F"/>
    <w:rsid w:val="5FC83CFC"/>
    <w:rsid w:val="5FCB3428"/>
    <w:rsid w:val="5FD03AC4"/>
    <w:rsid w:val="5FD110EF"/>
    <w:rsid w:val="5FD51C38"/>
    <w:rsid w:val="5FDF5D30"/>
    <w:rsid w:val="5FE63F78"/>
    <w:rsid w:val="5FE71EE7"/>
    <w:rsid w:val="5FEA7F2A"/>
    <w:rsid w:val="5FED72DA"/>
    <w:rsid w:val="5FF0500B"/>
    <w:rsid w:val="5FF26AC9"/>
    <w:rsid w:val="5FF34FE9"/>
    <w:rsid w:val="5FF37F00"/>
    <w:rsid w:val="5FFFCEAA"/>
    <w:rsid w:val="60095C6A"/>
    <w:rsid w:val="600C296C"/>
    <w:rsid w:val="600E4C7E"/>
    <w:rsid w:val="6010053B"/>
    <w:rsid w:val="601379C3"/>
    <w:rsid w:val="6026795C"/>
    <w:rsid w:val="60286367"/>
    <w:rsid w:val="602D60FF"/>
    <w:rsid w:val="602E3E20"/>
    <w:rsid w:val="603666B4"/>
    <w:rsid w:val="60372B23"/>
    <w:rsid w:val="603E7FA7"/>
    <w:rsid w:val="605B4614"/>
    <w:rsid w:val="605C2161"/>
    <w:rsid w:val="60751F4B"/>
    <w:rsid w:val="607B5300"/>
    <w:rsid w:val="607E2524"/>
    <w:rsid w:val="607F2933"/>
    <w:rsid w:val="6094334C"/>
    <w:rsid w:val="609A4358"/>
    <w:rsid w:val="609A7CE2"/>
    <w:rsid w:val="60A16DC8"/>
    <w:rsid w:val="60B238F0"/>
    <w:rsid w:val="60B35384"/>
    <w:rsid w:val="60BF7F59"/>
    <w:rsid w:val="60C368EA"/>
    <w:rsid w:val="60C515AD"/>
    <w:rsid w:val="60CA087E"/>
    <w:rsid w:val="60D36105"/>
    <w:rsid w:val="60D83ED0"/>
    <w:rsid w:val="60DF647E"/>
    <w:rsid w:val="61056BBE"/>
    <w:rsid w:val="611A1CE1"/>
    <w:rsid w:val="611E5139"/>
    <w:rsid w:val="612C33B8"/>
    <w:rsid w:val="613F280A"/>
    <w:rsid w:val="6141425E"/>
    <w:rsid w:val="61437755"/>
    <w:rsid w:val="615A68F7"/>
    <w:rsid w:val="61603B3E"/>
    <w:rsid w:val="616B6AA8"/>
    <w:rsid w:val="61740BA9"/>
    <w:rsid w:val="617A7CE6"/>
    <w:rsid w:val="617B0E1D"/>
    <w:rsid w:val="61803F41"/>
    <w:rsid w:val="61833784"/>
    <w:rsid w:val="618F6C01"/>
    <w:rsid w:val="61972646"/>
    <w:rsid w:val="619C1A2B"/>
    <w:rsid w:val="619E5E9F"/>
    <w:rsid w:val="61A62052"/>
    <w:rsid w:val="61AB16C4"/>
    <w:rsid w:val="61AB7303"/>
    <w:rsid w:val="61AF4103"/>
    <w:rsid w:val="61BE48FD"/>
    <w:rsid w:val="61C04001"/>
    <w:rsid w:val="61C176C2"/>
    <w:rsid w:val="61DF3D9A"/>
    <w:rsid w:val="61DF4077"/>
    <w:rsid w:val="61EB2E05"/>
    <w:rsid w:val="61FC77E5"/>
    <w:rsid w:val="62070798"/>
    <w:rsid w:val="620762D9"/>
    <w:rsid w:val="620C69AE"/>
    <w:rsid w:val="620E5178"/>
    <w:rsid w:val="6217630F"/>
    <w:rsid w:val="621B6817"/>
    <w:rsid w:val="621B728D"/>
    <w:rsid w:val="621C0D9C"/>
    <w:rsid w:val="621F0E4F"/>
    <w:rsid w:val="62227FC7"/>
    <w:rsid w:val="622A4C03"/>
    <w:rsid w:val="623F35C7"/>
    <w:rsid w:val="62411549"/>
    <w:rsid w:val="626B2F4C"/>
    <w:rsid w:val="626D2DCC"/>
    <w:rsid w:val="62880486"/>
    <w:rsid w:val="628A1243"/>
    <w:rsid w:val="629B64EA"/>
    <w:rsid w:val="62B31CE2"/>
    <w:rsid w:val="62C51184"/>
    <w:rsid w:val="62D947F3"/>
    <w:rsid w:val="62F31662"/>
    <w:rsid w:val="62FA191B"/>
    <w:rsid w:val="63005CB3"/>
    <w:rsid w:val="630E0F0F"/>
    <w:rsid w:val="631908C8"/>
    <w:rsid w:val="63293B53"/>
    <w:rsid w:val="63406917"/>
    <w:rsid w:val="634213AC"/>
    <w:rsid w:val="634849EC"/>
    <w:rsid w:val="634D7AE2"/>
    <w:rsid w:val="63552C5B"/>
    <w:rsid w:val="63606DA3"/>
    <w:rsid w:val="63666407"/>
    <w:rsid w:val="6374572D"/>
    <w:rsid w:val="63874A14"/>
    <w:rsid w:val="639800F4"/>
    <w:rsid w:val="63A2076E"/>
    <w:rsid w:val="63A67CBF"/>
    <w:rsid w:val="63A92B04"/>
    <w:rsid w:val="63AE1EC8"/>
    <w:rsid w:val="63BF0E51"/>
    <w:rsid w:val="63C17E44"/>
    <w:rsid w:val="63D94A35"/>
    <w:rsid w:val="63DD7C16"/>
    <w:rsid w:val="63E70D6E"/>
    <w:rsid w:val="63FB0B99"/>
    <w:rsid w:val="64014F12"/>
    <w:rsid w:val="64030748"/>
    <w:rsid w:val="640E1FC8"/>
    <w:rsid w:val="641339A4"/>
    <w:rsid w:val="641E5D05"/>
    <w:rsid w:val="642A2214"/>
    <w:rsid w:val="643A40FD"/>
    <w:rsid w:val="644208E0"/>
    <w:rsid w:val="644728E8"/>
    <w:rsid w:val="6451019A"/>
    <w:rsid w:val="645262F4"/>
    <w:rsid w:val="64614613"/>
    <w:rsid w:val="64630CC2"/>
    <w:rsid w:val="64641C16"/>
    <w:rsid w:val="64717E55"/>
    <w:rsid w:val="647A320E"/>
    <w:rsid w:val="647F665F"/>
    <w:rsid w:val="648973C8"/>
    <w:rsid w:val="6495559B"/>
    <w:rsid w:val="649B1F71"/>
    <w:rsid w:val="64B61B50"/>
    <w:rsid w:val="64CF04E5"/>
    <w:rsid w:val="64DA7F84"/>
    <w:rsid w:val="64DE061D"/>
    <w:rsid w:val="64E77380"/>
    <w:rsid w:val="64E92731"/>
    <w:rsid w:val="64F01EF7"/>
    <w:rsid w:val="64FD5B7F"/>
    <w:rsid w:val="65007615"/>
    <w:rsid w:val="651255B9"/>
    <w:rsid w:val="651F44EC"/>
    <w:rsid w:val="651F72AB"/>
    <w:rsid w:val="652E736E"/>
    <w:rsid w:val="65336EE8"/>
    <w:rsid w:val="6542252E"/>
    <w:rsid w:val="654516E8"/>
    <w:rsid w:val="65484313"/>
    <w:rsid w:val="65515E1F"/>
    <w:rsid w:val="65557053"/>
    <w:rsid w:val="655D56C3"/>
    <w:rsid w:val="656417D4"/>
    <w:rsid w:val="65681DA5"/>
    <w:rsid w:val="65692118"/>
    <w:rsid w:val="65714530"/>
    <w:rsid w:val="657615D0"/>
    <w:rsid w:val="65767098"/>
    <w:rsid w:val="657C14B1"/>
    <w:rsid w:val="657F40AD"/>
    <w:rsid w:val="65870EC5"/>
    <w:rsid w:val="65895028"/>
    <w:rsid w:val="65A24E62"/>
    <w:rsid w:val="65A27E27"/>
    <w:rsid w:val="65A907F3"/>
    <w:rsid w:val="65B4401E"/>
    <w:rsid w:val="65B516C7"/>
    <w:rsid w:val="65BC5ECD"/>
    <w:rsid w:val="65CB1816"/>
    <w:rsid w:val="65D62590"/>
    <w:rsid w:val="65E13147"/>
    <w:rsid w:val="65EA2DA6"/>
    <w:rsid w:val="65EA6DB6"/>
    <w:rsid w:val="65EE00EB"/>
    <w:rsid w:val="65F662BD"/>
    <w:rsid w:val="65F70D93"/>
    <w:rsid w:val="65F74A3A"/>
    <w:rsid w:val="65FB13A1"/>
    <w:rsid w:val="660965A3"/>
    <w:rsid w:val="660E27EC"/>
    <w:rsid w:val="66146F18"/>
    <w:rsid w:val="6625195D"/>
    <w:rsid w:val="66287262"/>
    <w:rsid w:val="66291A5C"/>
    <w:rsid w:val="663F1490"/>
    <w:rsid w:val="663F4384"/>
    <w:rsid w:val="66494605"/>
    <w:rsid w:val="665B374E"/>
    <w:rsid w:val="665C6AAC"/>
    <w:rsid w:val="665D0398"/>
    <w:rsid w:val="666072AE"/>
    <w:rsid w:val="6679612D"/>
    <w:rsid w:val="667B4C36"/>
    <w:rsid w:val="667D1FAB"/>
    <w:rsid w:val="667D79ED"/>
    <w:rsid w:val="668D3A2E"/>
    <w:rsid w:val="669E1FFD"/>
    <w:rsid w:val="669E5DA7"/>
    <w:rsid w:val="66A365C1"/>
    <w:rsid w:val="66A95098"/>
    <w:rsid w:val="66AE3383"/>
    <w:rsid w:val="66B06E23"/>
    <w:rsid w:val="66CA2047"/>
    <w:rsid w:val="66DE6CF5"/>
    <w:rsid w:val="66F24B21"/>
    <w:rsid w:val="67053D68"/>
    <w:rsid w:val="671027EC"/>
    <w:rsid w:val="67146AA1"/>
    <w:rsid w:val="67165330"/>
    <w:rsid w:val="67197E4E"/>
    <w:rsid w:val="6721528D"/>
    <w:rsid w:val="672918C9"/>
    <w:rsid w:val="672E5DA3"/>
    <w:rsid w:val="673E4C11"/>
    <w:rsid w:val="67444317"/>
    <w:rsid w:val="67477B3A"/>
    <w:rsid w:val="674E6E9B"/>
    <w:rsid w:val="674F6C56"/>
    <w:rsid w:val="6750623E"/>
    <w:rsid w:val="6751580F"/>
    <w:rsid w:val="675840C8"/>
    <w:rsid w:val="675A34A0"/>
    <w:rsid w:val="676F662C"/>
    <w:rsid w:val="67717204"/>
    <w:rsid w:val="6773586A"/>
    <w:rsid w:val="677369F5"/>
    <w:rsid w:val="677F14DD"/>
    <w:rsid w:val="67876CB8"/>
    <w:rsid w:val="67933955"/>
    <w:rsid w:val="679A2051"/>
    <w:rsid w:val="67AF3184"/>
    <w:rsid w:val="67B11F33"/>
    <w:rsid w:val="67B74F15"/>
    <w:rsid w:val="67B9158A"/>
    <w:rsid w:val="67BC17E1"/>
    <w:rsid w:val="67BC471A"/>
    <w:rsid w:val="67BE124A"/>
    <w:rsid w:val="67C556B6"/>
    <w:rsid w:val="67D61A95"/>
    <w:rsid w:val="67D621AB"/>
    <w:rsid w:val="67E40C7F"/>
    <w:rsid w:val="67EE75DA"/>
    <w:rsid w:val="67F3000E"/>
    <w:rsid w:val="680A1609"/>
    <w:rsid w:val="680B1A0F"/>
    <w:rsid w:val="680F77F0"/>
    <w:rsid w:val="68124DF9"/>
    <w:rsid w:val="681511DF"/>
    <w:rsid w:val="68190735"/>
    <w:rsid w:val="681D648F"/>
    <w:rsid w:val="68283418"/>
    <w:rsid w:val="682F20C9"/>
    <w:rsid w:val="6832201E"/>
    <w:rsid w:val="68535A74"/>
    <w:rsid w:val="685A261F"/>
    <w:rsid w:val="685A59BD"/>
    <w:rsid w:val="685B65D4"/>
    <w:rsid w:val="68627826"/>
    <w:rsid w:val="686E69AF"/>
    <w:rsid w:val="687E00BB"/>
    <w:rsid w:val="68846E3A"/>
    <w:rsid w:val="68887C4B"/>
    <w:rsid w:val="688D2A53"/>
    <w:rsid w:val="688E7FFD"/>
    <w:rsid w:val="68985043"/>
    <w:rsid w:val="689B1BC8"/>
    <w:rsid w:val="689D3655"/>
    <w:rsid w:val="68AE4ED5"/>
    <w:rsid w:val="68B341F6"/>
    <w:rsid w:val="68BF3C7C"/>
    <w:rsid w:val="68CB30CC"/>
    <w:rsid w:val="68D35006"/>
    <w:rsid w:val="68D93B11"/>
    <w:rsid w:val="68E532FE"/>
    <w:rsid w:val="68EF7721"/>
    <w:rsid w:val="68F009EB"/>
    <w:rsid w:val="68F76710"/>
    <w:rsid w:val="68FD5E69"/>
    <w:rsid w:val="69042E82"/>
    <w:rsid w:val="69052A76"/>
    <w:rsid w:val="691029A4"/>
    <w:rsid w:val="69110F2F"/>
    <w:rsid w:val="6913659B"/>
    <w:rsid w:val="691635BF"/>
    <w:rsid w:val="69267FCF"/>
    <w:rsid w:val="692900CA"/>
    <w:rsid w:val="693C1419"/>
    <w:rsid w:val="695E5EA3"/>
    <w:rsid w:val="69623070"/>
    <w:rsid w:val="69667214"/>
    <w:rsid w:val="69705753"/>
    <w:rsid w:val="6977382A"/>
    <w:rsid w:val="69840D8F"/>
    <w:rsid w:val="69843AC7"/>
    <w:rsid w:val="698566FF"/>
    <w:rsid w:val="69877429"/>
    <w:rsid w:val="69910044"/>
    <w:rsid w:val="69912438"/>
    <w:rsid w:val="69A73642"/>
    <w:rsid w:val="69AC58DD"/>
    <w:rsid w:val="69B42985"/>
    <w:rsid w:val="69C3502D"/>
    <w:rsid w:val="69CF561F"/>
    <w:rsid w:val="69E06F75"/>
    <w:rsid w:val="69F60F4A"/>
    <w:rsid w:val="69F6698E"/>
    <w:rsid w:val="69F72F9A"/>
    <w:rsid w:val="69FB1639"/>
    <w:rsid w:val="69FE4A75"/>
    <w:rsid w:val="6A06076B"/>
    <w:rsid w:val="6A072BE3"/>
    <w:rsid w:val="6A175387"/>
    <w:rsid w:val="6A1E1C76"/>
    <w:rsid w:val="6A4B384A"/>
    <w:rsid w:val="6A572487"/>
    <w:rsid w:val="6A5C30D5"/>
    <w:rsid w:val="6A641533"/>
    <w:rsid w:val="6A6A4FA3"/>
    <w:rsid w:val="6A6C2107"/>
    <w:rsid w:val="6A6E7455"/>
    <w:rsid w:val="6A7B172A"/>
    <w:rsid w:val="6A7E3D99"/>
    <w:rsid w:val="6A8464CE"/>
    <w:rsid w:val="6A883473"/>
    <w:rsid w:val="6A97138A"/>
    <w:rsid w:val="6AAA4172"/>
    <w:rsid w:val="6AB20546"/>
    <w:rsid w:val="6AB240E2"/>
    <w:rsid w:val="6AC7204C"/>
    <w:rsid w:val="6AEB3A02"/>
    <w:rsid w:val="6AEE2E69"/>
    <w:rsid w:val="6AF2585B"/>
    <w:rsid w:val="6AF356A9"/>
    <w:rsid w:val="6AF75790"/>
    <w:rsid w:val="6AF868A9"/>
    <w:rsid w:val="6AF95F8E"/>
    <w:rsid w:val="6AFB4AC4"/>
    <w:rsid w:val="6B030098"/>
    <w:rsid w:val="6B0A2BAF"/>
    <w:rsid w:val="6B1932D2"/>
    <w:rsid w:val="6B1F50EF"/>
    <w:rsid w:val="6B2962D6"/>
    <w:rsid w:val="6B2F4327"/>
    <w:rsid w:val="6B360222"/>
    <w:rsid w:val="6B3A49CE"/>
    <w:rsid w:val="6B450E13"/>
    <w:rsid w:val="6B621635"/>
    <w:rsid w:val="6B6253AB"/>
    <w:rsid w:val="6B6D61C5"/>
    <w:rsid w:val="6B763650"/>
    <w:rsid w:val="6B772AF0"/>
    <w:rsid w:val="6B7C0F76"/>
    <w:rsid w:val="6B7C4E26"/>
    <w:rsid w:val="6B8C6CF8"/>
    <w:rsid w:val="6B8D0CDB"/>
    <w:rsid w:val="6B8D66FF"/>
    <w:rsid w:val="6B90433B"/>
    <w:rsid w:val="6B926BF8"/>
    <w:rsid w:val="6B942C5F"/>
    <w:rsid w:val="6B996600"/>
    <w:rsid w:val="6B9B7A30"/>
    <w:rsid w:val="6BBC46AD"/>
    <w:rsid w:val="6BBE5331"/>
    <w:rsid w:val="6BC872AA"/>
    <w:rsid w:val="6BCD52F2"/>
    <w:rsid w:val="6BD12AED"/>
    <w:rsid w:val="6BD33673"/>
    <w:rsid w:val="6BE459F4"/>
    <w:rsid w:val="6BEC0652"/>
    <w:rsid w:val="6BEC557C"/>
    <w:rsid w:val="6BFF3DA2"/>
    <w:rsid w:val="6C006DB7"/>
    <w:rsid w:val="6C09081B"/>
    <w:rsid w:val="6C1932A4"/>
    <w:rsid w:val="6C227F67"/>
    <w:rsid w:val="6C281C60"/>
    <w:rsid w:val="6C2B6CAF"/>
    <w:rsid w:val="6C3E7A9B"/>
    <w:rsid w:val="6C400E54"/>
    <w:rsid w:val="6C433F3A"/>
    <w:rsid w:val="6C58320E"/>
    <w:rsid w:val="6C7F6727"/>
    <w:rsid w:val="6C8130FC"/>
    <w:rsid w:val="6C8C3F02"/>
    <w:rsid w:val="6C917FC9"/>
    <w:rsid w:val="6C946588"/>
    <w:rsid w:val="6CA73ECC"/>
    <w:rsid w:val="6CB16E6C"/>
    <w:rsid w:val="6CB82CDC"/>
    <w:rsid w:val="6CC77785"/>
    <w:rsid w:val="6CC92E67"/>
    <w:rsid w:val="6CCB5A65"/>
    <w:rsid w:val="6CD109FC"/>
    <w:rsid w:val="6CDA4BB5"/>
    <w:rsid w:val="6CF1067F"/>
    <w:rsid w:val="6CF4343A"/>
    <w:rsid w:val="6CF64D4E"/>
    <w:rsid w:val="6D0055EE"/>
    <w:rsid w:val="6D03147D"/>
    <w:rsid w:val="6D0B3BE2"/>
    <w:rsid w:val="6D0D5EB2"/>
    <w:rsid w:val="6D120AFE"/>
    <w:rsid w:val="6D1F13A8"/>
    <w:rsid w:val="6D326687"/>
    <w:rsid w:val="6D384457"/>
    <w:rsid w:val="6D39446B"/>
    <w:rsid w:val="6D3C3C04"/>
    <w:rsid w:val="6D3F1E96"/>
    <w:rsid w:val="6D425027"/>
    <w:rsid w:val="6D457C30"/>
    <w:rsid w:val="6D4D20C5"/>
    <w:rsid w:val="6D5C1904"/>
    <w:rsid w:val="6D681D70"/>
    <w:rsid w:val="6D6C0C43"/>
    <w:rsid w:val="6D7C695A"/>
    <w:rsid w:val="6D9F34D1"/>
    <w:rsid w:val="6DA0556A"/>
    <w:rsid w:val="6DA24D7B"/>
    <w:rsid w:val="6DA661DC"/>
    <w:rsid w:val="6DB21061"/>
    <w:rsid w:val="6DBB2628"/>
    <w:rsid w:val="6DBB7CD1"/>
    <w:rsid w:val="6DBF69C0"/>
    <w:rsid w:val="6DC2064D"/>
    <w:rsid w:val="6DC23563"/>
    <w:rsid w:val="6DCD1711"/>
    <w:rsid w:val="6DD52512"/>
    <w:rsid w:val="6DEC319B"/>
    <w:rsid w:val="6DF7358A"/>
    <w:rsid w:val="6E0B3D90"/>
    <w:rsid w:val="6E1D44BF"/>
    <w:rsid w:val="6E2663BE"/>
    <w:rsid w:val="6E2B01C9"/>
    <w:rsid w:val="6E3250A8"/>
    <w:rsid w:val="6E374B21"/>
    <w:rsid w:val="6E431D96"/>
    <w:rsid w:val="6E5324D9"/>
    <w:rsid w:val="6E5A2172"/>
    <w:rsid w:val="6E880371"/>
    <w:rsid w:val="6E8860A8"/>
    <w:rsid w:val="6E8E6B7E"/>
    <w:rsid w:val="6E9C1159"/>
    <w:rsid w:val="6EA27431"/>
    <w:rsid w:val="6EB3720E"/>
    <w:rsid w:val="6EBC3DD2"/>
    <w:rsid w:val="6ECD664C"/>
    <w:rsid w:val="6EE11246"/>
    <w:rsid w:val="6EEA5906"/>
    <w:rsid w:val="6EF012A7"/>
    <w:rsid w:val="6EF13B24"/>
    <w:rsid w:val="6EF565DE"/>
    <w:rsid w:val="6EF70B7B"/>
    <w:rsid w:val="6EFE3FF4"/>
    <w:rsid w:val="6F0B450E"/>
    <w:rsid w:val="6F0D3B0C"/>
    <w:rsid w:val="6F152FD5"/>
    <w:rsid w:val="6F1654F2"/>
    <w:rsid w:val="6F1E7F1B"/>
    <w:rsid w:val="6F317FAA"/>
    <w:rsid w:val="6F381F77"/>
    <w:rsid w:val="6F54277C"/>
    <w:rsid w:val="6F552BFE"/>
    <w:rsid w:val="6F583B6E"/>
    <w:rsid w:val="6F8029F1"/>
    <w:rsid w:val="6F962C90"/>
    <w:rsid w:val="6F9F092D"/>
    <w:rsid w:val="6FAF329F"/>
    <w:rsid w:val="6FB506A5"/>
    <w:rsid w:val="6FC32A1B"/>
    <w:rsid w:val="6FCF4ED9"/>
    <w:rsid w:val="6FD93B1A"/>
    <w:rsid w:val="6FDB372B"/>
    <w:rsid w:val="6FDD510A"/>
    <w:rsid w:val="6FDD7B34"/>
    <w:rsid w:val="6FF2263E"/>
    <w:rsid w:val="6FF764D5"/>
    <w:rsid w:val="7004640F"/>
    <w:rsid w:val="70130D1A"/>
    <w:rsid w:val="701966BE"/>
    <w:rsid w:val="701B44DA"/>
    <w:rsid w:val="701F646D"/>
    <w:rsid w:val="702129C1"/>
    <w:rsid w:val="702C7A97"/>
    <w:rsid w:val="70323B4F"/>
    <w:rsid w:val="70372FC5"/>
    <w:rsid w:val="704B2B60"/>
    <w:rsid w:val="70610CD2"/>
    <w:rsid w:val="706A7DCA"/>
    <w:rsid w:val="706B532C"/>
    <w:rsid w:val="7076609D"/>
    <w:rsid w:val="707F7BF9"/>
    <w:rsid w:val="708442DF"/>
    <w:rsid w:val="7085301C"/>
    <w:rsid w:val="708D4F70"/>
    <w:rsid w:val="70931334"/>
    <w:rsid w:val="70942BE6"/>
    <w:rsid w:val="709C7029"/>
    <w:rsid w:val="70A025C8"/>
    <w:rsid w:val="70A26578"/>
    <w:rsid w:val="70AC26DC"/>
    <w:rsid w:val="70AC3280"/>
    <w:rsid w:val="70BA1B6E"/>
    <w:rsid w:val="70BF376B"/>
    <w:rsid w:val="70C209B9"/>
    <w:rsid w:val="70D32D7E"/>
    <w:rsid w:val="70DE2C39"/>
    <w:rsid w:val="70E214C6"/>
    <w:rsid w:val="70EB3DF9"/>
    <w:rsid w:val="70EF22F6"/>
    <w:rsid w:val="70F03B20"/>
    <w:rsid w:val="70F467DE"/>
    <w:rsid w:val="70F854A7"/>
    <w:rsid w:val="70FD711D"/>
    <w:rsid w:val="71085216"/>
    <w:rsid w:val="712209EF"/>
    <w:rsid w:val="7123688B"/>
    <w:rsid w:val="712C4300"/>
    <w:rsid w:val="713154B4"/>
    <w:rsid w:val="71350A00"/>
    <w:rsid w:val="71380E98"/>
    <w:rsid w:val="714350BC"/>
    <w:rsid w:val="714B7342"/>
    <w:rsid w:val="71520337"/>
    <w:rsid w:val="71523CFB"/>
    <w:rsid w:val="71565553"/>
    <w:rsid w:val="715832DD"/>
    <w:rsid w:val="71597016"/>
    <w:rsid w:val="715F3E8F"/>
    <w:rsid w:val="716B31A7"/>
    <w:rsid w:val="71776375"/>
    <w:rsid w:val="718308D9"/>
    <w:rsid w:val="718D3A95"/>
    <w:rsid w:val="718E74FD"/>
    <w:rsid w:val="719F52A9"/>
    <w:rsid w:val="71A36DE5"/>
    <w:rsid w:val="71A81471"/>
    <w:rsid w:val="71AC424E"/>
    <w:rsid w:val="71B16463"/>
    <w:rsid w:val="71B72DC0"/>
    <w:rsid w:val="71CC0B05"/>
    <w:rsid w:val="71CC3031"/>
    <w:rsid w:val="71E906BE"/>
    <w:rsid w:val="71EA6FE7"/>
    <w:rsid w:val="71F31F8B"/>
    <w:rsid w:val="720959D2"/>
    <w:rsid w:val="720C40DF"/>
    <w:rsid w:val="7211209D"/>
    <w:rsid w:val="7214695D"/>
    <w:rsid w:val="7218528F"/>
    <w:rsid w:val="721F7811"/>
    <w:rsid w:val="722B1889"/>
    <w:rsid w:val="723E0E60"/>
    <w:rsid w:val="72410EC4"/>
    <w:rsid w:val="72497B32"/>
    <w:rsid w:val="725103F2"/>
    <w:rsid w:val="726277C0"/>
    <w:rsid w:val="726D11DA"/>
    <w:rsid w:val="726E0AC4"/>
    <w:rsid w:val="72755BE6"/>
    <w:rsid w:val="727E5895"/>
    <w:rsid w:val="72886865"/>
    <w:rsid w:val="72911DC9"/>
    <w:rsid w:val="72A13580"/>
    <w:rsid w:val="72AB572D"/>
    <w:rsid w:val="72BB6B03"/>
    <w:rsid w:val="72C1725C"/>
    <w:rsid w:val="72C25048"/>
    <w:rsid w:val="72C94CB2"/>
    <w:rsid w:val="72D11E6E"/>
    <w:rsid w:val="72E44D5D"/>
    <w:rsid w:val="72EA58C5"/>
    <w:rsid w:val="72F21DD2"/>
    <w:rsid w:val="72F30081"/>
    <w:rsid w:val="72F56FB8"/>
    <w:rsid w:val="72FC1907"/>
    <w:rsid w:val="72FD3C69"/>
    <w:rsid w:val="73023D34"/>
    <w:rsid w:val="730A6A8D"/>
    <w:rsid w:val="730F4FBD"/>
    <w:rsid w:val="73166403"/>
    <w:rsid w:val="731868B5"/>
    <w:rsid w:val="731E26C6"/>
    <w:rsid w:val="732D648A"/>
    <w:rsid w:val="73336D00"/>
    <w:rsid w:val="734835A9"/>
    <w:rsid w:val="7348516D"/>
    <w:rsid w:val="734A6A57"/>
    <w:rsid w:val="734C6D5E"/>
    <w:rsid w:val="735006F1"/>
    <w:rsid w:val="73544AB4"/>
    <w:rsid w:val="735A0BC4"/>
    <w:rsid w:val="73667AB9"/>
    <w:rsid w:val="736A0994"/>
    <w:rsid w:val="73833317"/>
    <w:rsid w:val="73883162"/>
    <w:rsid w:val="738B780E"/>
    <w:rsid w:val="7390259B"/>
    <w:rsid w:val="73954A60"/>
    <w:rsid w:val="739D6086"/>
    <w:rsid w:val="739E7CD0"/>
    <w:rsid w:val="73AF2571"/>
    <w:rsid w:val="73B13818"/>
    <w:rsid w:val="73B14C65"/>
    <w:rsid w:val="73BC02FC"/>
    <w:rsid w:val="73CC2341"/>
    <w:rsid w:val="73CC68A5"/>
    <w:rsid w:val="73CF3EC1"/>
    <w:rsid w:val="73D77DD8"/>
    <w:rsid w:val="73EC343C"/>
    <w:rsid w:val="73F27BAF"/>
    <w:rsid w:val="73F63DC3"/>
    <w:rsid w:val="74005ABD"/>
    <w:rsid w:val="74011B61"/>
    <w:rsid w:val="74097E68"/>
    <w:rsid w:val="7418774E"/>
    <w:rsid w:val="742B69FE"/>
    <w:rsid w:val="742C0791"/>
    <w:rsid w:val="74312091"/>
    <w:rsid w:val="74315368"/>
    <w:rsid w:val="7433488B"/>
    <w:rsid w:val="74371F1D"/>
    <w:rsid w:val="74471E27"/>
    <w:rsid w:val="74561B3A"/>
    <w:rsid w:val="745672BF"/>
    <w:rsid w:val="746903B1"/>
    <w:rsid w:val="746A7084"/>
    <w:rsid w:val="746F4273"/>
    <w:rsid w:val="74710BB7"/>
    <w:rsid w:val="748114AB"/>
    <w:rsid w:val="74817BA3"/>
    <w:rsid w:val="748C7B73"/>
    <w:rsid w:val="748D0774"/>
    <w:rsid w:val="74902CB1"/>
    <w:rsid w:val="749E6FE1"/>
    <w:rsid w:val="74A11527"/>
    <w:rsid w:val="74A134FA"/>
    <w:rsid w:val="74AA6400"/>
    <w:rsid w:val="74BA4829"/>
    <w:rsid w:val="74C267A5"/>
    <w:rsid w:val="74D15620"/>
    <w:rsid w:val="74DF4D76"/>
    <w:rsid w:val="74E514C2"/>
    <w:rsid w:val="74E725AC"/>
    <w:rsid w:val="74E77D8C"/>
    <w:rsid w:val="74EE453C"/>
    <w:rsid w:val="75092498"/>
    <w:rsid w:val="751161A0"/>
    <w:rsid w:val="75160AE1"/>
    <w:rsid w:val="7516547F"/>
    <w:rsid w:val="751C0E55"/>
    <w:rsid w:val="75211DB2"/>
    <w:rsid w:val="75220B0F"/>
    <w:rsid w:val="75223B1A"/>
    <w:rsid w:val="75296E6D"/>
    <w:rsid w:val="752B7EF7"/>
    <w:rsid w:val="752D4C61"/>
    <w:rsid w:val="752E5D4F"/>
    <w:rsid w:val="75364E86"/>
    <w:rsid w:val="755D54BA"/>
    <w:rsid w:val="75671EEC"/>
    <w:rsid w:val="756978F8"/>
    <w:rsid w:val="7570360B"/>
    <w:rsid w:val="757E733F"/>
    <w:rsid w:val="759B25E7"/>
    <w:rsid w:val="75A86059"/>
    <w:rsid w:val="75AF4071"/>
    <w:rsid w:val="75B42424"/>
    <w:rsid w:val="75BE21E7"/>
    <w:rsid w:val="75C5077D"/>
    <w:rsid w:val="75D91027"/>
    <w:rsid w:val="75E6712A"/>
    <w:rsid w:val="75FE70A4"/>
    <w:rsid w:val="760A4FCC"/>
    <w:rsid w:val="76102E89"/>
    <w:rsid w:val="76155294"/>
    <w:rsid w:val="76170DCC"/>
    <w:rsid w:val="761A710E"/>
    <w:rsid w:val="762620CA"/>
    <w:rsid w:val="7633231B"/>
    <w:rsid w:val="76381A7E"/>
    <w:rsid w:val="763869ED"/>
    <w:rsid w:val="763C1590"/>
    <w:rsid w:val="763C56B3"/>
    <w:rsid w:val="7643165D"/>
    <w:rsid w:val="76480664"/>
    <w:rsid w:val="764C1FDC"/>
    <w:rsid w:val="764F6434"/>
    <w:rsid w:val="765075CF"/>
    <w:rsid w:val="765D673C"/>
    <w:rsid w:val="76652828"/>
    <w:rsid w:val="7689132D"/>
    <w:rsid w:val="768C202F"/>
    <w:rsid w:val="76A72D14"/>
    <w:rsid w:val="76B77A0F"/>
    <w:rsid w:val="76BC6586"/>
    <w:rsid w:val="76C130A0"/>
    <w:rsid w:val="76CA16DD"/>
    <w:rsid w:val="76CD3A24"/>
    <w:rsid w:val="76CE2972"/>
    <w:rsid w:val="76D316AD"/>
    <w:rsid w:val="76D5271F"/>
    <w:rsid w:val="76DE1A27"/>
    <w:rsid w:val="76E74466"/>
    <w:rsid w:val="76EA22E5"/>
    <w:rsid w:val="76EC41CF"/>
    <w:rsid w:val="76F249A2"/>
    <w:rsid w:val="76F44F37"/>
    <w:rsid w:val="76F71273"/>
    <w:rsid w:val="76FB2036"/>
    <w:rsid w:val="76FE1761"/>
    <w:rsid w:val="77020109"/>
    <w:rsid w:val="7705043F"/>
    <w:rsid w:val="77070C98"/>
    <w:rsid w:val="770F446D"/>
    <w:rsid w:val="771805EC"/>
    <w:rsid w:val="77191906"/>
    <w:rsid w:val="771B1ADB"/>
    <w:rsid w:val="771E3A69"/>
    <w:rsid w:val="77212B94"/>
    <w:rsid w:val="77270DFA"/>
    <w:rsid w:val="77282B1E"/>
    <w:rsid w:val="772B5ADA"/>
    <w:rsid w:val="772E53B4"/>
    <w:rsid w:val="77423880"/>
    <w:rsid w:val="77466658"/>
    <w:rsid w:val="77477043"/>
    <w:rsid w:val="774D758F"/>
    <w:rsid w:val="775249FD"/>
    <w:rsid w:val="7779769E"/>
    <w:rsid w:val="777E0482"/>
    <w:rsid w:val="777E7C12"/>
    <w:rsid w:val="77802FFE"/>
    <w:rsid w:val="778122C5"/>
    <w:rsid w:val="7782489E"/>
    <w:rsid w:val="77934A88"/>
    <w:rsid w:val="77973613"/>
    <w:rsid w:val="779B2695"/>
    <w:rsid w:val="77A53213"/>
    <w:rsid w:val="77A90450"/>
    <w:rsid w:val="77AA7696"/>
    <w:rsid w:val="77CF2806"/>
    <w:rsid w:val="77D434A0"/>
    <w:rsid w:val="77E31CE9"/>
    <w:rsid w:val="77E45AB6"/>
    <w:rsid w:val="77E6359D"/>
    <w:rsid w:val="77F502F6"/>
    <w:rsid w:val="77FB5F12"/>
    <w:rsid w:val="77FB6E63"/>
    <w:rsid w:val="780E3E4A"/>
    <w:rsid w:val="78101804"/>
    <w:rsid w:val="78104B54"/>
    <w:rsid w:val="781429DD"/>
    <w:rsid w:val="78174103"/>
    <w:rsid w:val="78182293"/>
    <w:rsid w:val="78272321"/>
    <w:rsid w:val="78395DAD"/>
    <w:rsid w:val="78412B5C"/>
    <w:rsid w:val="78484A0A"/>
    <w:rsid w:val="784A6899"/>
    <w:rsid w:val="784E1171"/>
    <w:rsid w:val="787858D9"/>
    <w:rsid w:val="787876C6"/>
    <w:rsid w:val="787B6B5C"/>
    <w:rsid w:val="78877FDD"/>
    <w:rsid w:val="788F4A81"/>
    <w:rsid w:val="78911AFA"/>
    <w:rsid w:val="7891349E"/>
    <w:rsid w:val="789B3EAB"/>
    <w:rsid w:val="78A52C9E"/>
    <w:rsid w:val="78AC5752"/>
    <w:rsid w:val="78AD5249"/>
    <w:rsid w:val="78B60DE7"/>
    <w:rsid w:val="78BA48E6"/>
    <w:rsid w:val="78BC60C0"/>
    <w:rsid w:val="78C26731"/>
    <w:rsid w:val="78CF6670"/>
    <w:rsid w:val="78D35A5E"/>
    <w:rsid w:val="78D35AF4"/>
    <w:rsid w:val="78DC48AA"/>
    <w:rsid w:val="78E47CB4"/>
    <w:rsid w:val="78EC338F"/>
    <w:rsid w:val="78EE5689"/>
    <w:rsid w:val="78F57063"/>
    <w:rsid w:val="79084AB7"/>
    <w:rsid w:val="790C3B35"/>
    <w:rsid w:val="79100A50"/>
    <w:rsid w:val="79277270"/>
    <w:rsid w:val="79341565"/>
    <w:rsid w:val="7937229C"/>
    <w:rsid w:val="794049E7"/>
    <w:rsid w:val="7943318A"/>
    <w:rsid w:val="794E35DB"/>
    <w:rsid w:val="7950319B"/>
    <w:rsid w:val="79514D91"/>
    <w:rsid w:val="79626D03"/>
    <w:rsid w:val="79720058"/>
    <w:rsid w:val="79846B9E"/>
    <w:rsid w:val="798E5033"/>
    <w:rsid w:val="798F5644"/>
    <w:rsid w:val="79950DD4"/>
    <w:rsid w:val="79952A6D"/>
    <w:rsid w:val="799C51F5"/>
    <w:rsid w:val="79A94F2B"/>
    <w:rsid w:val="79AE668D"/>
    <w:rsid w:val="79BE435C"/>
    <w:rsid w:val="79C1634F"/>
    <w:rsid w:val="79C75D70"/>
    <w:rsid w:val="79CA622F"/>
    <w:rsid w:val="79CB7E15"/>
    <w:rsid w:val="79CD7D5A"/>
    <w:rsid w:val="79D05358"/>
    <w:rsid w:val="79D32518"/>
    <w:rsid w:val="79D44B4E"/>
    <w:rsid w:val="79E54BE5"/>
    <w:rsid w:val="79F54FC6"/>
    <w:rsid w:val="7A047991"/>
    <w:rsid w:val="7A0643B5"/>
    <w:rsid w:val="7A1307B6"/>
    <w:rsid w:val="7A1857EE"/>
    <w:rsid w:val="7A1A2D6B"/>
    <w:rsid w:val="7A2A006B"/>
    <w:rsid w:val="7A2A1590"/>
    <w:rsid w:val="7A2F596F"/>
    <w:rsid w:val="7A3D2CBA"/>
    <w:rsid w:val="7A4665A8"/>
    <w:rsid w:val="7A4B63B0"/>
    <w:rsid w:val="7A4C3F85"/>
    <w:rsid w:val="7A4D4106"/>
    <w:rsid w:val="7A582456"/>
    <w:rsid w:val="7A5D7B1A"/>
    <w:rsid w:val="7A5E6CE3"/>
    <w:rsid w:val="7A603AC5"/>
    <w:rsid w:val="7A627BF4"/>
    <w:rsid w:val="7A6865A8"/>
    <w:rsid w:val="7A6B1725"/>
    <w:rsid w:val="7A6B3792"/>
    <w:rsid w:val="7A6D470A"/>
    <w:rsid w:val="7A7444BE"/>
    <w:rsid w:val="7A7A2F9D"/>
    <w:rsid w:val="7A8F7C84"/>
    <w:rsid w:val="7A927DD7"/>
    <w:rsid w:val="7A957EC0"/>
    <w:rsid w:val="7A9C0666"/>
    <w:rsid w:val="7AA9062D"/>
    <w:rsid w:val="7AAF2357"/>
    <w:rsid w:val="7ABC0576"/>
    <w:rsid w:val="7ADE3752"/>
    <w:rsid w:val="7AE553D7"/>
    <w:rsid w:val="7AEB604D"/>
    <w:rsid w:val="7AEE0738"/>
    <w:rsid w:val="7B023906"/>
    <w:rsid w:val="7B041D71"/>
    <w:rsid w:val="7B096D70"/>
    <w:rsid w:val="7B0F0113"/>
    <w:rsid w:val="7B1138CE"/>
    <w:rsid w:val="7B14522C"/>
    <w:rsid w:val="7B205C79"/>
    <w:rsid w:val="7B236FF9"/>
    <w:rsid w:val="7B382393"/>
    <w:rsid w:val="7B4C5F7B"/>
    <w:rsid w:val="7B667DE3"/>
    <w:rsid w:val="7B712446"/>
    <w:rsid w:val="7B753ADA"/>
    <w:rsid w:val="7B8607AC"/>
    <w:rsid w:val="7B896F02"/>
    <w:rsid w:val="7B8B348D"/>
    <w:rsid w:val="7B9B3650"/>
    <w:rsid w:val="7BAB2766"/>
    <w:rsid w:val="7BAB69AD"/>
    <w:rsid w:val="7BAE2CCE"/>
    <w:rsid w:val="7BD42A5C"/>
    <w:rsid w:val="7BE16C38"/>
    <w:rsid w:val="7BE16CE4"/>
    <w:rsid w:val="7BF6477F"/>
    <w:rsid w:val="7C10178D"/>
    <w:rsid w:val="7C205FEB"/>
    <w:rsid w:val="7C3838D6"/>
    <w:rsid w:val="7C3A1527"/>
    <w:rsid w:val="7C3D1E3D"/>
    <w:rsid w:val="7C3D3992"/>
    <w:rsid w:val="7C3F37B5"/>
    <w:rsid w:val="7C4C076E"/>
    <w:rsid w:val="7C560A35"/>
    <w:rsid w:val="7C5807CC"/>
    <w:rsid w:val="7C621B1D"/>
    <w:rsid w:val="7C68680A"/>
    <w:rsid w:val="7C6A78CA"/>
    <w:rsid w:val="7C757790"/>
    <w:rsid w:val="7C997983"/>
    <w:rsid w:val="7C9F0E80"/>
    <w:rsid w:val="7CAD5FBA"/>
    <w:rsid w:val="7CAE1AB8"/>
    <w:rsid w:val="7CB00FA0"/>
    <w:rsid w:val="7CB26EE2"/>
    <w:rsid w:val="7CB40034"/>
    <w:rsid w:val="7CBF5D91"/>
    <w:rsid w:val="7CC16D09"/>
    <w:rsid w:val="7CC67ECE"/>
    <w:rsid w:val="7CCF790A"/>
    <w:rsid w:val="7CD31028"/>
    <w:rsid w:val="7CD94AED"/>
    <w:rsid w:val="7CDD1ABC"/>
    <w:rsid w:val="7CE21F36"/>
    <w:rsid w:val="7CE33EF0"/>
    <w:rsid w:val="7CED1C25"/>
    <w:rsid w:val="7CEF4B75"/>
    <w:rsid w:val="7CF95533"/>
    <w:rsid w:val="7D135CF7"/>
    <w:rsid w:val="7D19020A"/>
    <w:rsid w:val="7D2421A7"/>
    <w:rsid w:val="7D276A7B"/>
    <w:rsid w:val="7D3310C9"/>
    <w:rsid w:val="7D372A91"/>
    <w:rsid w:val="7D414B9D"/>
    <w:rsid w:val="7D476803"/>
    <w:rsid w:val="7D5A3CC2"/>
    <w:rsid w:val="7D5B67C5"/>
    <w:rsid w:val="7D5B76DF"/>
    <w:rsid w:val="7D5D109B"/>
    <w:rsid w:val="7D5D79BB"/>
    <w:rsid w:val="7D6F3AF2"/>
    <w:rsid w:val="7D775911"/>
    <w:rsid w:val="7D7B3F61"/>
    <w:rsid w:val="7D7E1489"/>
    <w:rsid w:val="7D834CE7"/>
    <w:rsid w:val="7D8E607F"/>
    <w:rsid w:val="7D973BDB"/>
    <w:rsid w:val="7DA84C7E"/>
    <w:rsid w:val="7DA84E35"/>
    <w:rsid w:val="7DAA588F"/>
    <w:rsid w:val="7DB163E4"/>
    <w:rsid w:val="7DDA5383"/>
    <w:rsid w:val="7DEC5669"/>
    <w:rsid w:val="7DEF4DF6"/>
    <w:rsid w:val="7DF14BA7"/>
    <w:rsid w:val="7E0F6D2E"/>
    <w:rsid w:val="7E135FC9"/>
    <w:rsid w:val="7E18684E"/>
    <w:rsid w:val="7E193CBA"/>
    <w:rsid w:val="7E2C2BC9"/>
    <w:rsid w:val="7E326A98"/>
    <w:rsid w:val="7E3627FF"/>
    <w:rsid w:val="7E365055"/>
    <w:rsid w:val="7E3E4194"/>
    <w:rsid w:val="7E442823"/>
    <w:rsid w:val="7E4544B4"/>
    <w:rsid w:val="7E4E0B45"/>
    <w:rsid w:val="7E510531"/>
    <w:rsid w:val="7E51060A"/>
    <w:rsid w:val="7E525E1A"/>
    <w:rsid w:val="7E573F10"/>
    <w:rsid w:val="7E5C4691"/>
    <w:rsid w:val="7E61743C"/>
    <w:rsid w:val="7E693633"/>
    <w:rsid w:val="7E6F57B7"/>
    <w:rsid w:val="7E707277"/>
    <w:rsid w:val="7E786F03"/>
    <w:rsid w:val="7E7E6F65"/>
    <w:rsid w:val="7E892FD0"/>
    <w:rsid w:val="7E8A783C"/>
    <w:rsid w:val="7E9724EB"/>
    <w:rsid w:val="7EA75D42"/>
    <w:rsid w:val="7EAB2D60"/>
    <w:rsid w:val="7EAB34AB"/>
    <w:rsid w:val="7EB63860"/>
    <w:rsid w:val="7EB660D8"/>
    <w:rsid w:val="7EBC1CE8"/>
    <w:rsid w:val="7ECA3B31"/>
    <w:rsid w:val="7ECB5730"/>
    <w:rsid w:val="7ECB5857"/>
    <w:rsid w:val="7ECE6A9C"/>
    <w:rsid w:val="7ED527C6"/>
    <w:rsid w:val="7ED62FDE"/>
    <w:rsid w:val="7ED70F2A"/>
    <w:rsid w:val="7EDE0322"/>
    <w:rsid w:val="7EF16656"/>
    <w:rsid w:val="7EFE31D7"/>
    <w:rsid w:val="7F0D0975"/>
    <w:rsid w:val="7F1C1F84"/>
    <w:rsid w:val="7F2F74B9"/>
    <w:rsid w:val="7F460CDD"/>
    <w:rsid w:val="7F555768"/>
    <w:rsid w:val="7F6052C6"/>
    <w:rsid w:val="7F6D1037"/>
    <w:rsid w:val="7F6E2FBD"/>
    <w:rsid w:val="7F73535E"/>
    <w:rsid w:val="7F7B3E26"/>
    <w:rsid w:val="7F7C54D1"/>
    <w:rsid w:val="7F7C6B54"/>
    <w:rsid w:val="7F847C18"/>
    <w:rsid w:val="7F861AE7"/>
    <w:rsid w:val="7F872938"/>
    <w:rsid w:val="7FA50C4A"/>
    <w:rsid w:val="7FA87C46"/>
    <w:rsid w:val="7FAD3BB0"/>
    <w:rsid w:val="7FB4730E"/>
    <w:rsid w:val="7FB87EFF"/>
    <w:rsid w:val="7FBC7601"/>
    <w:rsid w:val="7FC36EF5"/>
    <w:rsid w:val="7FCB09FE"/>
    <w:rsid w:val="7FD715F1"/>
    <w:rsid w:val="7FDB024F"/>
    <w:rsid w:val="7FE65A7D"/>
    <w:rsid w:val="7FE837E5"/>
    <w:rsid w:val="7FEE0155"/>
    <w:rsid w:val="7FF865A7"/>
    <w:rsid w:val="AC7D3F9E"/>
    <w:rsid w:val="F5FF7736"/>
    <w:rsid w:val="FFFDF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qFormat="1" w:unhideWhenUsed="0" w:uiPriority="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6">
    <w:name w:val="heading 1"/>
    <w:basedOn w:val="1"/>
    <w:next w:val="1"/>
    <w:link w:val="47"/>
    <w:qFormat/>
    <w:uiPriority w:val="99"/>
    <w:pPr>
      <w:adjustRightInd w:val="0"/>
      <w:spacing w:before="340" w:after="330" w:line="360" w:lineRule="auto"/>
      <w:outlineLvl w:val="0"/>
    </w:pPr>
    <w:rPr>
      <w:b/>
      <w:bCs/>
      <w:kern w:val="44"/>
      <w:sz w:val="44"/>
      <w:szCs w:val="44"/>
    </w:rPr>
  </w:style>
  <w:style w:type="paragraph" w:styleId="7">
    <w:name w:val="heading 2"/>
    <w:basedOn w:val="1"/>
    <w:next w:val="8"/>
    <w:link w:val="48"/>
    <w:qFormat/>
    <w:uiPriority w:val="99"/>
    <w:pPr>
      <w:keepNext/>
      <w:keepLines/>
      <w:spacing w:before="260" w:after="260" w:line="408" w:lineRule="auto"/>
      <w:outlineLvl w:val="1"/>
    </w:pPr>
    <w:rPr>
      <w:rFonts w:ascii="Cambria" w:hAnsi="Cambria"/>
      <w:b/>
      <w:bCs/>
      <w:kern w:val="0"/>
      <w:sz w:val="32"/>
      <w:szCs w:val="32"/>
    </w:rPr>
  </w:style>
  <w:style w:type="paragraph" w:styleId="10">
    <w:name w:val="heading 3"/>
    <w:basedOn w:val="1"/>
    <w:next w:val="1"/>
    <w:link w:val="49"/>
    <w:qFormat/>
    <w:uiPriority w:val="99"/>
    <w:pPr>
      <w:spacing w:before="100" w:beforeAutospacing="1" w:after="100" w:afterAutospacing="1"/>
      <w:jc w:val="left"/>
      <w:outlineLvl w:val="2"/>
    </w:pPr>
    <w:rPr>
      <w:b/>
      <w:bCs/>
      <w:kern w:val="0"/>
      <w:sz w:val="32"/>
      <w:szCs w:val="32"/>
    </w:rPr>
  </w:style>
  <w:style w:type="paragraph" w:styleId="11">
    <w:name w:val="heading 4"/>
    <w:basedOn w:val="1"/>
    <w:next w:val="1"/>
    <w:link w:val="50"/>
    <w:qFormat/>
    <w:uiPriority w:val="99"/>
    <w:pPr>
      <w:keepNext/>
      <w:keepLines/>
      <w:spacing w:before="280" w:after="290" w:line="376" w:lineRule="auto"/>
      <w:outlineLvl w:val="3"/>
    </w:pPr>
    <w:rPr>
      <w:rFonts w:ascii="Cambria" w:hAnsi="Cambria"/>
      <w:b/>
      <w:bCs/>
      <w:kern w:val="0"/>
      <w:sz w:val="28"/>
      <w:szCs w:val="28"/>
    </w:rPr>
  </w:style>
  <w:style w:type="paragraph" w:styleId="12">
    <w:name w:val="heading 5"/>
    <w:basedOn w:val="1"/>
    <w:next w:val="1"/>
    <w:link w:val="51"/>
    <w:qFormat/>
    <w:uiPriority w:val="99"/>
    <w:pPr>
      <w:keepNext/>
      <w:keepLines/>
      <w:spacing w:before="280" w:after="290" w:line="372" w:lineRule="auto"/>
      <w:outlineLvl w:val="4"/>
    </w:pPr>
    <w:rPr>
      <w:b/>
      <w:bCs/>
      <w:kern w:val="0"/>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6"/>
    <w:qFormat/>
    <w:uiPriority w:val="99"/>
    <w:pPr>
      <w:ind w:firstLine="420" w:firstLineChars="100"/>
    </w:pPr>
  </w:style>
  <w:style w:type="paragraph" w:styleId="3">
    <w:name w:val="Body Text"/>
    <w:basedOn w:val="1"/>
    <w:next w:val="4"/>
    <w:link w:val="45"/>
    <w:qFormat/>
    <w:uiPriority w:val="99"/>
    <w:pPr>
      <w:spacing w:after="120"/>
    </w:pPr>
  </w:style>
  <w:style w:type="paragraph" w:styleId="4">
    <w:name w:val="toc 4"/>
    <w:basedOn w:val="1"/>
    <w:next w:val="1"/>
    <w:semiHidden/>
    <w:qFormat/>
    <w:uiPriority w:val="0"/>
    <w:pPr>
      <w:ind w:left="630"/>
      <w:jc w:val="left"/>
    </w:pPr>
    <w:rPr>
      <w:sz w:val="18"/>
      <w:szCs w:val="18"/>
    </w:rPr>
  </w:style>
  <w:style w:type="paragraph" w:styleId="5">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8">
    <w:name w:val="Plain Text"/>
    <w:basedOn w:val="1"/>
    <w:next w:val="9"/>
    <w:link w:val="55"/>
    <w:qFormat/>
    <w:uiPriority w:val="99"/>
    <w:rPr>
      <w:rFonts w:ascii="宋体" w:hAnsi="Courier New"/>
      <w:snapToGrid w:val="0"/>
    </w:rPr>
  </w:style>
  <w:style w:type="paragraph" w:styleId="9">
    <w:name w:val="toc 2"/>
    <w:basedOn w:val="1"/>
    <w:next w:val="1"/>
    <w:qFormat/>
    <w:uiPriority w:val="99"/>
    <w:pPr>
      <w:tabs>
        <w:tab w:val="right" w:leader="dot" w:pos="8302"/>
      </w:tabs>
      <w:ind w:left="200" w:leftChars="200"/>
    </w:pPr>
    <w:rPr>
      <w:b/>
      <w:sz w:val="24"/>
    </w:rPr>
  </w:style>
  <w:style w:type="paragraph" w:styleId="13">
    <w:name w:val="table of authorities"/>
    <w:basedOn w:val="1"/>
    <w:next w:val="1"/>
    <w:unhideWhenUsed/>
    <w:qFormat/>
    <w:uiPriority w:val="99"/>
    <w:pPr>
      <w:ind w:left="420" w:leftChars="200"/>
    </w:pPr>
  </w:style>
  <w:style w:type="paragraph" w:styleId="14">
    <w:name w:val="Normal Indent"/>
    <w:basedOn w:val="1"/>
    <w:link w:val="52"/>
    <w:qFormat/>
    <w:uiPriority w:val="99"/>
    <w:pPr>
      <w:adjustRightInd w:val="0"/>
      <w:spacing w:line="400" w:lineRule="atLeast"/>
      <w:ind w:firstLine="510"/>
      <w:textAlignment w:val="baseline"/>
    </w:pPr>
    <w:rPr>
      <w:rFonts w:eastAsia="微软雅黑"/>
      <w:kern w:val="0"/>
      <w:sz w:val="24"/>
    </w:rPr>
  </w:style>
  <w:style w:type="paragraph" w:styleId="15">
    <w:name w:val="annotation text"/>
    <w:basedOn w:val="1"/>
    <w:link w:val="53"/>
    <w:semiHidden/>
    <w:qFormat/>
    <w:uiPriority w:val="99"/>
    <w:pPr>
      <w:jc w:val="left"/>
    </w:pPr>
  </w:style>
  <w:style w:type="paragraph" w:styleId="16">
    <w:name w:val="Body Text Indent"/>
    <w:basedOn w:val="1"/>
    <w:next w:val="17"/>
    <w:link w:val="54"/>
    <w:qFormat/>
    <w:uiPriority w:val="99"/>
    <w:pPr>
      <w:adjustRightInd w:val="0"/>
      <w:spacing w:line="360" w:lineRule="auto"/>
      <w:ind w:firstLine="490"/>
      <w:jc w:val="left"/>
    </w:pPr>
    <w:rPr>
      <w:rFonts w:ascii="宋体"/>
      <w:kern w:val="0"/>
      <w:sz w:val="24"/>
    </w:rPr>
  </w:style>
  <w:style w:type="paragraph" w:styleId="17">
    <w:name w:val="Body Text First Indent 2"/>
    <w:basedOn w:val="16"/>
    <w:next w:val="1"/>
    <w:link w:val="65"/>
    <w:qFormat/>
    <w:uiPriority w:val="99"/>
    <w:pPr>
      <w:spacing w:after="120" w:line="240" w:lineRule="auto"/>
      <w:ind w:left="420" w:leftChars="200" w:firstLine="420" w:firstLineChars="200"/>
    </w:pPr>
    <w:rPr>
      <w:sz w:val="20"/>
    </w:rPr>
  </w:style>
  <w:style w:type="paragraph" w:styleId="18">
    <w:name w:val="Block Text"/>
    <w:basedOn w:val="1"/>
    <w:qFormat/>
    <w:uiPriority w:val="99"/>
    <w:pPr>
      <w:adjustRightInd w:val="0"/>
      <w:spacing w:line="300" w:lineRule="auto"/>
      <w:ind w:left="958" w:right="-120" w:rightChars="-120"/>
      <w:jc w:val="left"/>
    </w:pPr>
    <w:rPr>
      <w:rFonts w:ascii="宋体" w:hAnsi="宋体"/>
      <w:sz w:val="28"/>
    </w:rPr>
  </w:style>
  <w:style w:type="paragraph" w:styleId="19">
    <w:name w:val="Date"/>
    <w:basedOn w:val="1"/>
    <w:next w:val="1"/>
    <w:link w:val="56"/>
    <w:qFormat/>
    <w:uiPriority w:val="99"/>
    <w:pPr>
      <w:ind w:left="100" w:leftChars="2500"/>
    </w:pPr>
  </w:style>
  <w:style w:type="paragraph" w:styleId="20">
    <w:name w:val="Body Text Indent 2"/>
    <w:basedOn w:val="1"/>
    <w:unhideWhenUsed/>
    <w:qFormat/>
    <w:uiPriority w:val="99"/>
    <w:pPr>
      <w:spacing w:after="120" w:line="480" w:lineRule="auto"/>
      <w:ind w:left="420" w:leftChars="200"/>
    </w:pPr>
  </w:style>
  <w:style w:type="paragraph" w:styleId="21">
    <w:name w:val="endnote text"/>
    <w:basedOn w:val="1"/>
    <w:link w:val="57"/>
    <w:qFormat/>
    <w:uiPriority w:val="99"/>
    <w:pPr>
      <w:snapToGrid w:val="0"/>
      <w:jc w:val="left"/>
    </w:pPr>
  </w:style>
  <w:style w:type="paragraph" w:styleId="22">
    <w:name w:val="Balloon Text"/>
    <w:basedOn w:val="1"/>
    <w:link w:val="58"/>
    <w:semiHidden/>
    <w:qFormat/>
    <w:uiPriority w:val="99"/>
    <w:pPr>
      <w:spacing w:after="0" w:line="240" w:lineRule="auto"/>
    </w:pPr>
    <w:rPr>
      <w:sz w:val="18"/>
      <w:szCs w:val="18"/>
    </w:rPr>
  </w:style>
  <w:style w:type="paragraph" w:styleId="23">
    <w:name w:val="footer"/>
    <w:basedOn w:val="1"/>
    <w:link w:val="59"/>
    <w:qFormat/>
    <w:uiPriority w:val="99"/>
    <w:pPr>
      <w:tabs>
        <w:tab w:val="center" w:pos="4153"/>
        <w:tab w:val="right" w:pos="8306"/>
      </w:tabs>
      <w:snapToGrid w:val="0"/>
      <w:jc w:val="left"/>
    </w:pPr>
    <w:rPr>
      <w:sz w:val="18"/>
    </w:rPr>
  </w:style>
  <w:style w:type="paragraph" w:styleId="24">
    <w:name w:val="envelope return"/>
    <w:basedOn w:val="1"/>
    <w:qFormat/>
    <w:uiPriority w:val="0"/>
    <w:pPr>
      <w:snapToGrid w:val="0"/>
    </w:pPr>
    <w:rPr>
      <w:rFonts w:ascii="Arial" w:hAnsi="Arial"/>
    </w:rPr>
  </w:style>
  <w:style w:type="paragraph" w:styleId="25">
    <w:name w:val="header"/>
    <w:basedOn w:val="1"/>
    <w:link w:val="6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99"/>
    <w:pPr>
      <w:tabs>
        <w:tab w:val="right" w:leader="dot" w:pos="8302"/>
      </w:tabs>
      <w:spacing w:before="120" w:after="120"/>
      <w:ind w:firstLine="161"/>
      <w:jc w:val="center"/>
      <w:outlineLvl w:val="0"/>
    </w:pPr>
    <w:rPr>
      <w:rFonts w:ascii="宋体" w:hAnsi="宋体"/>
      <w:b/>
      <w:bCs/>
      <w:caps/>
      <w:sz w:val="32"/>
      <w:szCs w:val="32"/>
    </w:rPr>
  </w:style>
  <w:style w:type="paragraph" w:styleId="27">
    <w:name w:val="List"/>
    <w:basedOn w:val="1"/>
    <w:qFormat/>
    <w:uiPriority w:val="99"/>
    <w:pPr>
      <w:ind w:left="200" w:hanging="200" w:hangingChars="200"/>
    </w:pPr>
    <w:rPr>
      <w:sz w:val="36"/>
      <w:szCs w:val="24"/>
    </w:rPr>
  </w:style>
  <w:style w:type="paragraph" w:styleId="28">
    <w:name w:val="footnote text"/>
    <w:basedOn w:val="1"/>
    <w:link w:val="61"/>
    <w:qFormat/>
    <w:uiPriority w:val="99"/>
    <w:pPr>
      <w:snapToGrid w:val="0"/>
      <w:jc w:val="left"/>
    </w:pPr>
    <w:rPr>
      <w:sz w:val="18"/>
    </w:rPr>
  </w:style>
  <w:style w:type="paragraph" w:styleId="29">
    <w:name w:val="Body Text Indent 3"/>
    <w:basedOn w:val="1"/>
    <w:link w:val="62"/>
    <w:qFormat/>
    <w:uiPriority w:val="99"/>
    <w:pPr>
      <w:spacing w:after="120"/>
      <w:ind w:left="200" w:leftChars="200"/>
    </w:pPr>
    <w:rPr>
      <w:kern w:val="0"/>
      <w:sz w:val="16"/>
      <w:szCs w:val="16"/>
    </w:rPr>
  </w:style>
  <w:style w:type="paragraph" w:styleId="30">
    <w:name w:val="HTML Preformatted"/>
    <w:basedOn w:val="1"/>
    <w:link w:val="6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31">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2">
    <w:name w:val="annotation subject"/>
    <w:basedOn w:val="15"/>
    <w:next w:val="15"/>
    <w:link w:val="64"/>
    <w:semiHidden/>
    <w:qFormat/>
    <w:uiPriority w:val="99"/>
    <w:rPr>
      <w:b/>
      <w:bCs/>
      <w:sz w:val="20"/>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99"/>
    <w:rPr>
      <w:rFonts w:cs="Times New Roman"/>
      <w:b/>
    </w:rPr>
  </w:style>
  <w:style w:type="character" w:styleId="37">
    <w:name w:val="endnote reference"/>
    <w:qFormat/>
    <w:uiPriority w:val="99"/>
    <w:rPr>
      <w:rFonts w:cs="Times New Roman"/>
      <w:vertAlign w:val="superscript"/>
    </w:rPr>
  </w:style>
  <w:style w:type="character" w:styleId="38">
    <w:name w:val="page number"/>
    <w:qFormat/>
    <w:uiPriority w:val="99"/>
    <w:rPr>
      <w:rFonts w:cs="Times New Roman"/>
    </w:rPr>
  </w:style>
  <w:style w:type="character" w:styleId="39">
    <w:name w:val="Emphasis"/>
    <w:qFormat/>
    <w:uiPriority w:val="99"/>
    <w:rPr>
      <w:rFonts w:cs="Times New Roman"/>
      <w:i/>
    </w:rPr>
  </w:style>
  <w:style w:type="character" w:styleId="40">
    <w:name w:val="Hyperlink"/>
    <w:qFormat/>
    <w:uiPriority w:val="99"/>
    <w:rPr>
      <w:rFonts w:cs="Times New Roman"/>
      <w:color w:val="0000FF"/>
      <w:u w:val="single"/>
    </w:rPr>
  </w:style>
  <w:style w:type="character" w:styleId="41">
    <w:name w:val="annotation reference"/>
    <w:semiHidden/>
    <w:qFormat/>
    <w:uiPriority w:val="99"/>
    <w:rPr>
      <w:rFonts w:cs="Times New Roman"/>
      <w:sz w:val="21"/>
    </w:rPr>
  </w:style>
  <w:style w:type="character" w:styleId="42">
    <w:name w:val="footnote reference"/>
    <w:basedOn w:val="35"/>
    <w:qFormat/>
    <w:uiPriority w:val="99"/>
    <w:rPr>
      <w:rFonts w:cs="Times New Roman"/>
      <w:vertAlign w:val="superscript"/>
    </w:rPr>
  </w:style>
  <w:style w:type="character" w:styleId="43">
    <w:name w:val="HTML Sample"/>
    <w:basedOn w:val="35"/>
    <w:qFormat/>
    <w:uiPriority w:val="0"/>
    <w:rPr>
      <w:rFonts w:ascii="Courier New" w:hAnsi="Courier New"/>
    </w:rPr>
  </w:style>
  <w:style w:type="paragraph" w:customStyle="1" w:styleId="44">
    <w:name w:val="首行缩进"/>
    <w:basedOn w:val="1"/>
    <w:qFormat/>
    <w:uiPriority w:val="0"/>
    <w:pPr>
      <w:spacing w:line="360" w:lineRule="auto"/>
      <w:ind w:firstLine="420"/>
    </w:pPr>
    <w:rPr>
      <w:rFonts w:cs="宋体"/>
    </w:rPr>
  </w:style>
  <w:style w:type="character" w:customStyle="1" w:styleId="45">
    <w:name w:val="正文文本 字符"/>
    <w:link w:val="3"/>
    <w:qFormat/>
    <w:locked/>
    <w:uiPriority w:val="99"/>
    <w:rPr>
      <w:rFonts w:cs="Times New Roman"/>
      <w:kern w:val="2"/>
      <w:sz w:val="21"/>
    </w:rPr>
  </w:style>
  <w:style w:type="character" w:customStyle="1" w:styleId="46">
    <w:name w:val="正文文本首行缩进 字符"/>
    <w:link w:val="2"/>
    <w:qFormat/>
    <w:locked/>
    <w:uiPriority w:val="99"/>
    <w:rPr>
      <w:rFonts w:cs="Times New Roman"/>
      <w:kern w:val="2"/>
      <w:sz w:val="21"/>
    </w:rPr>
  </w:style>
  <w:style w:type="character" w:customStyle="1" w:styleId="47">
    <w:name w:val="标题 1 字符"/>
    <w:link w:val="6"/>
    <w:qFormat/>
    <w:locked/>
    <w:uiPriority w:val="99"/>
    <w:rPr>
      <w:rFonts w:cs="Times New Roman"/>
      <w:b/>
      <w:bCs/>
      <w:kern w:val="44"/>
      <w:sz w:val="44"/>
      <w:szCs w:val="44"/>
    </w:rPr>
  </w:style>
  <w:style w:type="character" w:customStyle="1" w:styleId="48">
    <w:name w:val="标题 2 字符"/>
    <w:link w:val="7"/>
    <w:semiHidden/>
    <w:qFormat/>
    <w:locked/>
    <w:uiPriority w:val="99"/>
    <w:rPr>
      <w:rFonts w:ascii="Cambria" w:hAnsi="Cambria" w:eastAsia="宋体" w:cs="Times New Roman"/>
      <w:b/>
      <w:bCs/>
      <w:sz w:val="32"/>
      <w:szCs w:val="32"/>
    </w:rPr>
  </w:style>
  <w:style w:type="character" w:customStyle="1" w:styleId="49">
    <w:name w:val="标题 3 字符"/>
    <w:link w:val="10"/>
    <w:semiHidden/>
    <w:qFormat/>
    <w:locked/>
    <w:uiPriority w:val="99"/>
    <w:rPr>
      <w:rFonts w:cs="Times New Roman"/>
      <w:b/>
      <w:bCs/>
      <w:sz w:val="32"/>
      <w:szCs w:val="32"/>
    </w:rPr>
  </w:style>
  <w:style w:type="character" w:customStyle="1" w:styleId="50">
    <w:name w:val="标题 4 字符"/>
    <w:link w:val="11"/>
    <w:semiHidden/>
    <w:qFormat/>
    <w:locked/>
    <w:uiPriority w:val="99"/>
    <w:rPr>
      <w:rFonts w:ascii="Cambria" w:hAnsi="Cambria" w:eastAsia="宋体" w:cs="Times New Roman"/>
      <w:b/>
      <w:bCs/>
      <w:sz w:val="28"/>
      <w:szCs w:val="28"/>
    </w:rPr>
  </w:style>
  <w:style w:type="character" w:customStyle="1" w:styleId="51">
    <w:name w:val="标题 5 字符"/>
    <w:link w:val="12"/>
    <w:semiHidden/>
    <w:qFormat/>
    <w:locked/>
    <w:uiPriority w:val="99"/>
    <w:rPr>
      <w:rFonts w:cs="Times New Roman"/>
      <w:b/>
      <w:bCs/>
      <w:sz w:val="28"/>
      <w:szCs w:val="28"/>
    </w:rPr>
  </w:style>
  <w:style w:type="character" w:customStyle="1" w:styleId="52">
    <w:name w:val="正文缩进 字符"/>
    <w:link w:val="14"/>
    <w:qFormat/>
    <w:locked/>
    <w:uiPriority w:val="99"/>
    <w:rPr>
      <w:rFonts w:eastAsia="微软雅黑"/>
      <w:sz w:val="24"/>
    </w:rPr>
  </w:style>
  <w:style w:type="character" w:customStyle="1" w:styleId="53">
    <w:name w:val="批注文字 字符"/>
    <w:link w:val="15"/>
    <w:semiHidden/>
    <w:qFormat/>
    <w:locked/>
    <w:uiPriority w:val="99"/>
    <w:rPr>
      <w:rFonts w:cs="Times New Roman"/>
      <w:kern w:val="2"/>
      <w:sz w:val="21"/>
    </w:rPr>
  </w:style>
  <w:style w:type="character" w:customStyle="1" w:styleId="54">
    <w:name w:val="正文文本缩进 字符"/>
    <w:link w:val="16"/>
    <w:qFormat/>
    <w:locked/>
    <w:uiPriority w:val="99"/>
    <w:rPr>
      <w:rFonts w:ascii="宋体" w:eastAsia="宋体" w:cs="Times New Roman"/>
      <w:sz w:val="24"/>
    </w:rPr>
  </w:style>
  <w:style w:type="character" w:customStyle="1" w:styleId="55">
    <w:name w:val="纯文本 字符"/>
    <w:link w:val="8"/>
    <w:qFormat/>
    <w:locked/>
    <w:uiPriority w:val="99"/>
    <w:rPr>
      <w:rFonts w:ascii="宋体" w:hAnsi="Courier New" w:eastAsia="宋体" w:cs="Times New Roman"/>
      <w:snapToGrid w:val="0"/>
      <w:kern w:val="2"/>
      <w:sz w:val="21"/>
      <w:lang w:val="en-US" w:eastAsia="zh-CN"/>
    </w:rPr>
  </w:style>
  <w:style w:type="character" w:customStyle="1" w:styleId="56">
    <w:name w:val="日期 字符"/>
    <w:link w:val="19"/>
    <w:qFormat/>
    <w:locked/>
    <w:uiPriority w:val="99"/>
    <w:rPr>
      <w:rFonts w:cs="Times New Roman"/>
      <w:kern w:val="2"/>
      <w:sz w:val="21"/>
    </w:rPr>
  </w:style>
  <w:style w:type="character" w:customStyle="1" w:styleId="57">
    <w:name w:val="尾注文本 字符"/>
    <w:link w:val="21"/>
    <w:qFormat/>
    <w:locked/>
    <w:uiPriority w:val="99"/>
    <w:rPr>
      <w:rFonts w:cs="Times New Roman"/>
      <w:kern w:val="2"/>
      <w:sz w:val="21"/>
    </w:rPr>
  </w:style>
  <w:style w:type="character" w:customStyle="1" w:styleId="58">
    <w:name w:val="批注框文本 字符"/>
    <w:link w:val="22"/>
    <w:semiHidden/>
    <w:qFormat/>
    <w:uiPriority w:val="99"/>
    <w:rPr>
      <w:kern w:val="2"/>
      <w:sz w:val="18"/>
      <w:szCs w:val="18"/>
    </w:rPr>
  </w:style>
  <w:style w:type="character" w:customStyle="1" w:styleId="59">
    <w:name w:val="页脚 字符"/>
    <w:link w:val="23"/>
    <w:qFormat/>
    <w:locked/>
    <w:uiPriority w:val="99"/>
    <w:rPr>
      <w:rFonts w:cs="Times New Roman"/>
      <w:kern w:val="2"/>
      <w:sz w:val="18"/>
    </w:rPr>
  </w:style>
  <w:style w:type="character" w:customStyle="1" w:styleId="60">
    <w:name w:val="页眉 字符"/>
    <w:link w:val="25"/>
    <w:qFormat/>
    <w:locked/>
    <w:uiPriority w:val="99"/>
    <w:rPr>
      <w:rFonts w:cs="Times New Roman"/>
      <w:kern w:val="2"/>
      <w:sz w:val="18"/>
    </w:rPr>
  </w:style>
  <w:style w:type="character" w:customStyle="1" w:styleId="61">
    <w:name w:val="脚注文本 字符"/>
    <w:link w:val="28"/>
    <w:qFormat/>
    <w:locked/>
    <w:uiPriority w:val="99"/>
    <w:rPr>
      <w:kern w:val="2"/>
      <w:sz w:val="18"/>
    </w:rPr>
  </w:style>
  <w:style w:type="character" w:customStyle="1" w:styleId="62">
    <w:name w:val="正文文本缩进 3 字符"/>
    <w:link w:val="29"/>
    <w:semiHidden/>
    <w:qFormat/>
    <w:locked/>
    <w:uiPriority w:val="99"/>
    <w:rPr>
      <w:rFonts w:cs="Times New Roman"/>
      <w:sz w:val="16"/>
      <w:szCs w:val="16"/>
    </w:rPr>
  </w:style>
  <w:style w:type="character" w:customStyle="1" w:styleId="63">
    <w:name w:val="HTML 预设格式 字符"/>
    <w:link w:val="30"/>
    <w:semiHidden/>
    <w:qFormat/>
    <w:locked/>
    <w:uiPriority w:val="99"/>
    <w:rPr>
      <w:rFonts w:ascii="Courier New" w:hAnsi="Courier New" w:cs="Courier New"/>
      <w:sz w:val="20"/>
      <w:szCs w:val="20"/>
    </w:rPr>
  </w:style>
  <w:style w:type="character" w:customStyle="1" w:styleId="64">
    <w:name w:val="批注主题 字符"/>
    <w:link w:val="32"/>
    <w:semiHidden/>
    <w:qFormat/>
    <w:locked/>
    <w:uiPriority w:val="99"/>
    <w:rPr>
      <w:rFonts w:cs="Times New Roman"/>
      <w:b/>
      <w:bCs/>
      <w:kern w:val="2"/>
      <w:sz w:val="20"/>
      <w:szCs w:val="20"/>
    </w:rPr>
  </w:style>
  <w:style w:type="character" w:customStyle="1" w:styleId="65">
    <w:name w:val="正文文本首行缩进 2 字符"/>
    <w:link w:val="17"/>
    <w:semiHidden/>
    <w:qFormat/>
    <w:locked/>
    <w:uiPriority w:val="99"/>
    <w:rPr>
      <w:rFonts w:ascii="宋体" w:eastAsia="宋体" w:cs="Times New Roman"/>
      <w:sz w:val="20"/>
      <w:szCs w:val="20"/>
    </w:rPr>
  </w:style>
  <w:style w:type="paragraph" w:customStyle="1" w:styleId="66">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character" w:customStyle="1" w:styleId="67">
    <w:name w:val="标题 1 Char"/>
    <w:qFormat/>
    <w:uiPriority w:val="99"/>
    <w:rPr>
      <w:rFonts w:ascii="黑体" w:eastAsia="黑体"/>
      <w:b/>
      <w:snapToGrid w:val="0"/>
      <w:kern w:val="44"/>
      <w:sz w:val="44"/>
      <w:lang w:val="en-US" w:eastAsia="zh-CN"/>
    </w:rPr>
  </w:style>
  <w:style w:type="character" w:customStyle="1" w:styleId="68">
    <w:name w:val="Footnote Text Char"/>
    <w:semiHidden/>
    <w:qFormat/>
    <w:locked/>
    <w:uiPriority w:val="99"/>
    <w:rPr>
      <w:rFonts w:eastAsia="宋体" w:cs="Times New Roman"/>
      <w:kern w:val="2"/>
      <w:sz w:val="18"/>
      <w:lang w:val="en-US" w:eastAsia="zh-CN"/>
    </w:rPr>
  </w:style>
  <w:style w:type="character" w:customStyle="1" w:styleId="69">
    <w:name w:val="apple-converted-space"/>
    <w:qFormat/>
    <w:uiPriority w:val="99"/>
    <w:rPr>
      <w:rFonts w:cs="Times New Roman"/>
    </w:rPr>
  </w:style>
  <w:style w:type="character" w:customStyle="1" w:styleId="70">
    <w:name w:val="font01"/>
    <w:basedOn w:val="35"/>
    <w:qFormat/>
    <w:uiPriority w:val="99"/>
    <w:rPr>
      <w:rFonts w:ascii="宋体" w:hAnsi="宋体" w:eastAsia="宋体" w:cs="宋体"/>
      <w:color w:val="000000"/>
      <w:sz w:val="22"/>
      <w:szCs w:val="22"/>
      <w:u w:val="single"/>
    </w:rPr>
  </w:style>
  <w:style w:type="character" w:customStyle="1" w:styleId="71">
    <w:name w:val="纯文本 Char1"/>
    <w:qFormat/>
    <w:uiPriority w:val="99"/>
    <w:rPr>
      <w:rFonts w:ascii="Century Gothic" w:hAnsi="楷体_GB2312" w:eastAsia="宋体"/>
      <w:kern w:val="2"/>
      <w:sz w:val="21"/>
      <w:lang w:val="en-US" w:eastAsia="zh-CN"/>
    </w:rPr>
  </w:style>
  <w:style w:type="character" w:customStyle="1" w:styleId="72">
    <w:name w:val="段 Char"/>
    <w:link w:val="73"/>
    <w:qFormat/>
    <w:locked/>
    <w:uiPriority w:val="99"/>
    <w:rPr>
      <w:rFonts w:ascii="宋体"/>
      <w:sz w:val="21"/>
      <w:lang w:val="en-US" w:eastAsia="zh-CN" w:bidi="ar-SA"/>
    </w:rPr>
  </w:style>
  <w:style w:type="paragraph" w:customStyle="1" w:styleId="73">
    <w:name w:val="段"/>
    <w:link w:val="72"/>
    <w:qFormat/>
    <w:uiPriority w:val="99"/>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 w:type="character" w:customStyle="1" w:styleId="74">
    <w:name w:val="无"/>
    <w:qFormat/>
    <w:uiPriority w:val="99"/>
  </w:style>
  <w:style w:type="character" w:customStyle="1" w:styleId="75">
    <w:name w:val="font31"/>
    <w:qFormat/>
    <w:uiPriority w:val="99"/>
    <w:rPr>
      <w:rFonts w:ascii="Times New Roman" w:hAnsi="Times New Roman"/>
      <w:color w:val="000000"/>
      <w:sz w:val="24"/>
      <w:u w:val="none"/>
    </w:rPr>
  </w:style>
  <w:style w:type="character" w:customStyle="1" w:styleId="76">
    <w:name w:val="纯文本 Char2"/>
    <w:qFormat/>
    <w:uiPriority w:val="99"/>
    <w:rPr>
      <w:rFonts w:ascii="宋体" w:hAnsi="Courier New"/>
      <w:sz w:val="18"/>
    </w:rPr>
  </w:style>
  <w:style w:type="character" w:customStyle="1" w:styleId="77">
    <w:name w:val="标3 Char"/>
    <w:link w:val="78"/>
    <w:qFormat/>
    <w:locked/>
    <w:uiPriority w:val="99"/>
    <w:rPr>
      <w:rFonts w:ascii="黑体" w:hAnsi="黑体" w:eastAsia="黑体"/>
      <w:sz w:val="22"/>
      <w:szCs w:val="22"/>
      <w:lang w:val="en-US" w:eastAsia="zh-CN" w:bidi="ar-SA"/>
    </w:rPr>
  </w:style>
  <w:style w:type="paragraph" w:customStyle="1" w:styleId="78">
    <w:name w:val="标3"/>
    <w:next w:val="1"/>
    <w:link w:val="77"/>
    <w:qFormat/>
    <w:uiPriority w:val="99"/>
    <w:pPr>
      <w:spacing w:after="160" w:line="259" w:lineRule="auto"/>
      <w:ind w:left="50" w:leftChars="50" w:right="50" w:rightChars="50"/>
      <w:outlineLvl w:val="2"/>
    </w:pPr>
    <w:rPr>
      <w:rFonts w:ascii="黑体" w:hAnsi="黑体" w:eastAsia="黑体" w:cs="Times New Roman"/>
      <w:sz w:val="22"/>
      <w:szCs w:val="22"/>
      <w:lang w:val="en-US" w:eastAsia="zh-CN" w:bidi="ar-SA"/>
    </w:rPr>
  </w:style>
  <w:style w:type="character" w:customStyle="1" w:styleId="79">
    <w:name w:val="NormalCharacter"/>
    <w:semiHidden/>
    <w:qFormat/>
    <w:uiPriority w:val="0"/>
  </w:style>
  <w:style w:type="character" w:customStyle="1" w:styleId="80">
    <w:name w:val="普通文字 Char Char1"/>
    <w:qFormat/>
    <w:uiPriority w:val="99"/>
    <w:rPr>
      <w:rFonts w:ascii="宋体" w:hAnsi="Courier New" w:eastAsia="宋体"/>
      <w:kern w:val="2"/>
      <w:sz w:val="24"/>
      <w:lang w:val="en-US" w:eastAsia="zh-CN"/>
    </w:rPr>
  </w:style>
  <w:style w:type="paragraph" w:customStyle="1" w:styleId="81">
    <w:name w:val="标题 10"/>
    <w:basedOn w:val="7"/>
    <w:qFormat/>
    <w:uiPriority w:val="99"/>
    <w:pPr>
      <w:jc w:val="center"/>
    </w:pPr>
  </w:style>
  <w:style w:type="paragraph" w:customStyle="1" w:styleId="82">
    <w:name w:val="[Normal]"/>
    <w:qFormat/>
    <w:uiPriority w:val="99"/>
    <w:pPr>
      <w:spacing w:after="160" w:line="259" w:lineRule="auto"/>
    </w:pPr>
    <w:rPr>
      <w:rFonts w:ascii="宋体" w:hAnsi="宋体" w:eastAsia="宋体" w:cs="Times New Roman"/>
      <w:sz w:val="24"/>
      <w:szCs w:val="22"/>
      <w:lang w:val="zh-CN" w:eastAsia="zh-CN" w:bidi="ar-SA"/>
    </w:rPr>
  </w:style>
  <w:style w:type="paragraph" w:customStyle="1" w:styleId="83">
    <w:name w:val="Char Char4"/>
    <w:basedOn w:val="1"/>
    <w:qFormat/>
    <w:uiPriority w:val="99"/>
    <w:rPr>
      <w:rFonts w:ascii="Tahoma" w:hAnsi="Tahoma"/>
      <w:sz w:val="24"/>
    </w:rPr>
  </w:style>
  <w:style w:type="paragraph" w:customStyle="1" w:styleId="84">
    <w:name w:val="_Style 81"/>
    <w:unhideWhenUsed/>
    <w:qFormat/>
    <w:uiPriority w:val="99"/>
    <w:rPr>
      <w:rFonts w:ascii="Times New Roman" w:hAnsi="Times New Roman" w:eastAsia="宋体" w:cs="Times New Roman"/>
      <w:kern w:val="2"/>
      <w:sz w:val="21"/>
      <w:lang w:val="en-US" w:eastAsia="zh-CN" w:bidi="ar-SA"/>
    </w:rPr>
  </w:style>
  <w:style w:type="paragraph" w:customStyle="1" w:styleId="85">
    <w:name w:val="正文_13"/>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86">
    <w:name w:val="正文首行缩进1"/>
    <w:basedOn w:val="3"/>
    <w:qFormat/>
    <w:uiPriority w:val="0"/>
    <w:pPr>
      <w:spacing w:before="100" w:beforeAutospacing="1"/>
      <w:ind w:firstLine="420" w:firstLineChars="100"/>
    </w:pPr>
  </w:style>
  <w:style w:type="paragraph" w:customStyle="1" w:styleId="87">
    <w:name w:val="小说明"/>
    <w:basedOn w:val="1"/>
    <w:qFormat/>
    <w:uiPriority w:val="99"/>
    <w:pPr>
      <w:numPr>
        <w:ilvl w:val="0"/>
        <w:numId w:val="1"/>
      </w:numPr>
      <w:spacing w:line="288" w:lineRule="auto"/>
      <w:ind w:left="786"/>
    </w:pPr>
    <w:rPr>
      <w:rFonts w:eastAsia="楷体"/>
    </w:rPr>
  </w:style>
  <w:style w:type="paragraph" w:customStyle="1" w:styleId="88">
    <w:name w:val="Default"/>
    <w:next w:val="89"/>
    <w:qFormat/>
    <w:uiPriority w:val="99"/>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89">
    <w:name w:val="目录 71"/>
    <w:next w:val="1"/>
    <w:qFormat/>
    <w:uiPriority w:val="99"/>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90">
    <w:name w:val="_Style 1"/>
    <w:basedOn w:val="1"/>
    <w:qFormat/>
    <w:uiPriority w:val="99"/>
    <w:pPr>
      <w:ind w:firstLine="420" w:firstLineChars="200"/>
    </w:pPr>
  </w:style>
  <w:style w:type="paragraph" w:customStyle="1" w:styleId="91">
    <w:name w:val="正文文本 21"/>
    <w:basedOn w:val="1"/>
    <w:qFormat/>
    <w:uiPriority w:val="99"/>
    <w:pPr>
      <w:adjustRightInd w:val="0"/>
      <w:spacing w:line="300" w:lineRule="auto"/>
      <w:jc w:val="center"/>
    </w:pPr>
    <w:rPr>
      <w:rFonts w:ascii="宋体" w:hAnsi="宋体"/>
      <w:sz w:val="24"/>
    </w:rPr>
  </w:style>
  <w:style w:type="paragraph" w:customStyle="1" w:styleId="92">
    <w:name w:val="正文文字"/>
    <w:basedOn w:val="1"/>
    <w:qFormat/>
    <w:uiPriority w:val="99"/>
    <w:pPr>
      <w:widowControl/>
      <w:spacing w:line="952" w:lineRule="atLeast"/>
      <w:ind w:firstLine="419"/>
    </w:pPr>
    <w:rPr>
      <w:b/>
      <w:color w:val="000000"/>
      <w:sz w:val="44"/>
    </w:rPr>
  </w:style>
  <w:style w:type="paragraph" w:customStyle="1" w:styleId="93">
    <w:name w:val="标题3级"/>
    <w:basedOn w:val="10"/>
    <w:qFormat/>
    <w:uiPriority w:val="99"/>
    <w:pPr>
      <w:spacing w:before="0" w:after="0" w:line="360" w:lineRule="auto"/>
    </w:pPr>
    <w:rPr>
      <w:sz w:val="28"/>
      <w:szCs w:val="28"/>
    </w:rPr>
  </w:style>
  <w:style w:type="paragraph" w:customStyle="1" w:styleId="94">
    <w:name w:val="正文 New New New New"/>
    <w:qFormat/>
    <w:uiPriority w:val="99"/>
    <w:pPr>
      <w:widowControl w:val="0"/>
      <w:spacing w:after="160" w:line="259" w:lineRule="auto"/>
      <w:jc w:val="both"/>
    </w:pPr>
    <w:rPr>
      <w:rFonts w:ascii="Times New Roman" w:hAnsi="Times New Roman" w:eastAsia="宋体" w:cs="Times New Roman"/>
      <w:szCs w:val="24"/>
      <w:lang w:val="en-US" w:eastAsia="zh-CN" w:bidi="ar-SA"/>
    </w:rPr>
  </w:style>
  <w:style w:type="paragraph" w:customStyle="1" w:styleId="95">
    <w:name w:val="设备 3"/>
    <w:basedOn w:val="1"/>
    <w:qFormat/>
    <w:uiPriority w:val="99"/>
    <w:pPr>
      <w:tabs>
        <w:tab w:val="left" w:pos="420"/>
      </w:tabs>
      <w:ind w:left="644" w:hanging="360"/>
    </w:pPr>
    <w:rPr>
      <w:rFonts w:eastAsia="仿宋_GB2312"/>
      <w:b/>
      <w:sz w:val="28"/>
      <w:szCs w:val="24"/>
    </w:rPr>
  </w:style>
  <w:style w:type="paragraph" w:customStyle="1" w:styleId="96">
    <w:name w:val="正文2"/>
    <w:qFormat/>
    <w:uiPriority w:val="99"/>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97">
    <w:name w:val="Char Char1"/>
    <w:basedOn w:val="1"/>
    <w:qFormat/>
    <w:uiPriority w:val="99"/>
    <w:pPr>
      <w:widowControl/>
      <w:jc w:val="left"/>
    </w:pPr>
  </w:style>
  <w:style w:type="paragraph" w:customStyle="1" w:styleId="98">
    <w:name w:val="l正文"/>
    <w:basedOn w:val="1"/>
    <w:qFormat/>
    <w:uiPriority w:val="99"/>
    <w:pPr>
      <w:spacing w:line="300" w:lineRule="auto"/>
      <w:ind w:firstLine="200" w:firstLineChars="200"/>
      <w:jc w:val="left"/>
    </w:pPr>
    <w:rPr>
      <w:rFonts w:ascii="楷体_GB2312" w:hAnsi="Times" w:eastAsia="楷体_GB2312" w:cs="等线"/>
      <w:sz w:val="24"/>
      <w:szCs w:val="24"/>
    </w:rPr>
  </w:style>
  <w:style w:type="paragraph" w:customStyle="1" w:styleId="99">
    <w:name w:val="Normal1"/>
    <w:qFormat/>
    <w:uiPriority w:val="99"/>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00">
    <w:name w:val="默认段落字体 Para Char Char Char Char Char Char Char Char Char1 Char Char Char Char"/>
    <w:basedOn w:val="1"/>
    <w:qFormat/>
    <w:uiPriority w:val="99"/>
    <w:rPr>
      <w:rFonts w:ascii="Tahoma" w:hAnsi="Tahoma"/>
      <w:sz w:val="24"/>
    </w:rPr>
  </w:style>
  <w:style w:type="paragraph" w:customStyle="1" w:styleId="101">
    <w:name w:val="_Style 44"/>
    <w:semiHidden/>
    <w:qFormat/>
    <w:uiPriority w:val="99"/>
    <w:pPr>
      <w:spacing w:after="160" w:line="259" w:lineRule="auto"/>
    </w:pPr>
    <w:rPr>
      <w:rFonts w:ascii="Times New Roman" w:hAnsi="Times New Roman" w:eastAsia="宋体" w:cs="Times New Roman"/>
      <w:kern w:val="2"/>
      <w:sz w:val="21"/>
      <w:lang w:val="en-US" w:eastAsia="zh-CN" w:bidi="ar-SA"/>
    </w:rPr>
  </w:style>
  <w:style w:type="paragraph" w:customStyle="1" w:styleId="102">
    <w:name w:val="Plain Text*"/>
    <w:basedOn w:val="1"/>
    <w:qFormat/>
    <w:uiPriority w:val="99"/>
    <w:rPr>
      <w:rFonts w:ascii="宋体" w:hAnsi="宋体" w:cs="Courier New"/>
      <w:color w:val="000000"/>
      <w:kern w:val="1"/>
      <w:szCs w:val="21"/>
    </w:rPr>
  </w:style>
  <w:style w:type="paragraph" w:customStyle="1" w:styleId="103">
    <w:name w:val="无间隔1"/>
    <w:qFormat/>
    <w:uiPriority w:val="99"/>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104">
    <w:name w:val=".."/>
    <w:basedOn w:val="88"/>
    <w:next w:val="88"/>
    <w:qFormat/>
    <w:uiPriority w:val="99"/>
    <w:rPr>
      <w:color w:val="auto"/>
    </w:rPr>
  </w:style>
  <w:style w:type="paragraph" w:customStyle="1" w:styleId="105">
    <w:name w:val="Plain Text1"/>
    <w:basedOn w:val="99"/>
    <w:qFormat/>
    <w:uiPriority w:val="99"/>
    <w:pPr>
      <w:adjustRightInd w:val="0"/>
    </w:pPr>
    <w:rPr>
      <w:rFonts w:ascii="宋体" w:hAnsi="Courier New" w:eastAsia="楷体_GB2312"/>
      <w:sz w:val="28"/>
    </w:rPr>
  </w:style>
  <w:style w:type="paragraph" w:customStyle="1" w:styleId="106">
    <w:name w:val="正文1"/>
    <w:qFormat/>
    <w:uiPriority w:val="99"/>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07">
    <w:name w:val="样式1"/>
    <w:basedOn w:val="6"/>
    <w:qFormat/>
    <w:uiPriority w:val="99"/>
    <w:pPr>
      <w:tabs>
        <w:tab w:val="left" w:pos="425"/>
      </w:tabs>
      <w:spacing w:beforeLines="50" w:after="0" w:line="240" w:lineRule="auto"/>
    </w:pPr>
    <w:rPr>
      <w:rFonts w:ascii="宋体" w:hAnsi="宋体"/>
      <w:sz w:val="21"/>
      <w:szCs w:val="36"/>
    </w:rPr>
  </w:style>
  <w:style w:type="paragraph" w:customStyle="1" w:styleId="108">
    <w:name w:val="列出段落1"/>
    <w:qFormat/>
    <w:uiPriority w:val="99"/>
    <w:pPr>
      <w:spacing w:after="160" w:line="259" w:lineRule="auto"/>
      <w:ind w:firstLine="420" w:firstLineChars="200"/>
    </w:pPr>
    <w:rPr>
      <w:rFonts w:ascii="Times New Roman" w:hAnsi="Times New Roman" w:eastAsia="宋体" w:cs="Times New Roman"/>
      <w:lang w:val="en-US" w:eastAsia="zh-CN" w:bidi="ar-SA"/>
    </w:rPr>
  </w:style>
  <w:style w:type="paragraph" w:customStyle="1" w:styleId="109">
    <w:name w:val="标准文本"/>
    <w:basedOn w:val="1"/>
    <w:qFormat/>
    <w:uiPriority w:val="0"/>
    <w:pPr>
      <w:spacing w:line="360" w:lineRule="auto"/>
      <w:ind w:firstLine="480" w:firstLineChars="200"/>
    </w:pPr>
    <w:rPr>
      <w:sz w:val="24"/>
    </w:rPr>
  </w:style>
  <w:style w:type="paragraph" w:customStyle="1" w:styleId="110">
    <w:name w:val="Proposals body"/>
    <w:basedOn w:val="1"/>
    <w:next w:val="1"/>
    <w:qFormat/>
    <w:uiPriority w:val="99"/>
    <w:pPr>
      <w:widowControl/>
      <w:spacing w:line="360" w:lineRule="auto"/>
      <w:jc w:val="left"/>
    </w:pPr>
    <w:rPr>
      <w:rFonts w:ascii="宋体"/>
      <w:color w:val="000000"/>
      <w:kern w:val="0"/>
      <w:sz w:val="24"/>
    </w:rPr>
  </w:style>
  <w:style w:type="paragraph" w:customStyle="1" w:styleId="111">
    <w:name w:val="纯文本1"/>
    <w:basedOn w:val="1"/>
    <w:qFormat/>
    <w:uiPriority w:val="99"/>
    <w:pPr>
      <w:snapToGrid w:val="0"/>
      <w:jc w:val="left"/>
    </w:pPr>
    <w:rPr>
      <w:rFonts w:ascii="Century Gothic" w:hAnsi="楷体_GB2312" w:eastAsia="Times New Roman"/>
    </w:rPr>
  </w:style>
  <w:style w:type="paragraph" w:customStyle="1" w:styleId="112">
    <w:name w:val="Char Char Char Char"/>
    <w:basedOn w:val="1"/>
    <w:qFormat/>
    <w:uiPriority w:val="99"/>
    <w:pPr>
      <w:tabs>
        <w:tab w:val="left" w:pos="432"/>
      </w:tabs>
      <w:spacing w:beforeLines="50" w:afterLines="50"/>
      <w:ind w:left="432" w:hanging="432"/>
    </w:pPr>
    <w:rPr>
      <w:sz w:val="24"/>
      <w:szCs w:val="24"/>
    </w:rPr>
  </w:style>
  <w:style w:type="paragraph" w:customStyle="1" w:styleId="113">
    <w:name w:val="Body text|3"/>
    <w:basedOn w:val="1"/>
    <w:qFormat/>
    <w:uiPriority w:val="0"/>
    <w:pPr>
      <w:spacing w:after="380"/>
      <w:jc w:val="center"/>
    </w:pPr>
    <w:rPr>
      <w:rFonts w:ascii="宋体" w:hAnsi="宋体" w:cs="宋体"/>
      <w:sz w:val="26"/>
      <w:szCs w:val="26"/>
      <w:lang w:val="zh-TW" w:eastAsia="zh-TW" w:bidi="zh-TW"/>
    </w:rPr>
  </w:style>
  <w:style w:type="paragraph" w:customStyle="1" w:styleId="114">
    <w:name w:val="纯文本 New New"/>
    <w:basedOn w:val="1"/>
    <w:qFormat/>
    <w:uiPriority w:val="99"/>
    <w:pPr>
      <w:widowControl/>
      <w:overflowPunct w:val="0"/>
      <w:autoSpaceDE w:val="0"/>
      <w:autoSpaceDN w:val="0"/>
      <w:adjustRightInd w:val="0"/>
      <w:jc w:val="left"/>
      <w:textAlignment w:val="baseline"/>
    </w:pPr>
    <w:rPr>
      <w:rFonts w:ascii="宋体" w:hAnsi="Courier New"/>
    </w:rPr>
  </w:style>
  <w:style w:type="paragraph" w:customStyle="1" w:styleId="115">
    <w:name w:val="List Paragraph1"/>
    <w:basedOn w:val="1"/>
    <w:qFormat/>
    <w:uiPriority w:val="99"/>
    <w:pPr>
      <w:ind w:firstLine="420" w:firstLineChars="200"/>
    </w:pPr>
    <w:rPr>
      <w:rFonts w:ascii="Calibri" w:hAnsi="Calibri"/>
      <w:szCs w:val="22"/>
    </w:rPr>
  </w:style>
  <w:style w:type="paragraph" w:customStyle="1" w:styleId="116">
    <w:name w:val="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目录 711"/>
    <w:next w:val="1"/>
    <w:qFormat/>
    <w:uiPriority w:val="99"/>
    <w:pPr>
      <w:wordWrap w:val="0"/>
      <w:spacing w:after="160" w:line="259" w:lineRule="auto"/>
      <w:ind w:left="2550"/>
      <w:jc w:val="both"/>
    </w:pPr>
    <w:rPr>
      <w:rFonts w:ascii="Times New Roman" w:hAnsi="Times New Roman" w:eastAsia="宋体" w:cs="Times New Roman"/>
      <w:sz w:val="21"/>
      <w:szCs w:val="22"/>
      <w:lang w:val="en-US" w:eastAsia="zh-CN" w:bidi="ar-SA"/>
    </w:rPr>
  </w:style>
  <w:style w:type="paragraph" w:customStyle="1" w:styleId="118">
    <w:name w:val="无间隔11"/>
    <w:qFormat/>
    <w:uiPriority w:val="1"/>
    <w:pPr>
      <w:widowControl w:val="0"/>
      <w:snapToGrid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19">
    <w:name w:val="列表段落1"/>
    <w:basedOn w:val="1"/>
    <w:qFormat/>
    <w:uiPriority w:val="99"/>
    <w:pPr>
      <w:ind w:firstLine="420" w:firstLineChars="200"/>
    </w:pPr>
    <w:rPr>
      <w:rFonts w:ascii="Calibri" w:hAnsi="Calibri"/>
      <w:szCs w:val="22"/>
    </w:rPr>
  </w:style>
  <w:style w:type="paragraph" w:customStyle="1" w:styleId="120">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121">
    <w:name w:val="表内文字"/>
    <w:basedOn w:val="1"/>
    <w:qFormat/>
    <w:uiPriority w:val="99"/>
    <w:pPr>
      <w:tabs>
        <w:tab w:val="left" w:pos="1418"/>
      </w:tabs>
      <w:spacing w:after="120"/>
    </w:pPr>
    <w:rPr>
      <w:rFonts w:ascii="仿宋_GB2312" w:eastAsia="仿宋_GB2312"/>
      <w:spacing w:val="-20"/>
      <w:kern w:val="0"/>
      <w:sz w:val="24"/>
      <w:szCs w:val="24"/>
    </w:rPr>
  </w:style>
  <w:style w:type="paragraph" w:customStyle="1" w:styleId="122">
    <w:name w:val="正文文本缩进1"/>
    <w:basedOn w:val="1"/>
    <w:qFormat/>
    <w:uiPriority w:val="99"/>
    <w:pPr>
      <w:adjustRightInd w:val="0"/>
      <w:snapToGrid w:val="0"/>
      <w:spacing w:line="480" w:lineRule="atLeast"/>
      <w:ind w:firstLine="584" w:firstLineChars="200"/>
    </w:pPr>
    <w:rPr>
      <w:sz w:val="24"/>
    </w:rPr>
  </w:style>
  <w:style w:type="paragraph" w:customStyle="1" w:styleId="12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修订1"/>
    <w:qFormat/>
    <w:uiPriority w:val="99"/>
    <w:pPr>
      <w:spacing w:after="160" w:line="259" w:lineRule="auto"/>
    </w:pPr>
    <w:rPr>
      <w:rFonts w:ascii="Times New Roman" w:hAnsi="Times New Roman" w:eastAsia="宋体" w:cs="Times New Roman"/>
      <w:kern w:val="2"/>
      <w:sz w:val="21"/>
      <w:lang w:val="en-US" w:eastAsia="zh-CN" w:bidi="ar-SA"/>
    </w:rPr>
  </w:style>
  <w:style w:type="paragraph" w:customStyle="1" w:styleId="125">
    <w:name w:val="_Style 20"/>
    <w:basedOn w:val="1"/>
    <w:qFormat/>
    <w:uiPriority w:val="99"/>
    <w:pPr>
      <w:tabs>
        <w:tab w:val="left" w:pos="432"/>
      </w:tabs>
      <w:ind w:left="432" w:hanging="432"/>
    </w:pPr>
    <w:rPr>
      <w:rFonts w:ascii="Tahoma" w:hAnsi="Tahoma"/>
      <w:sz w:val="24"/>
    </w:rPr>
  </w:style>
  <w:style w:type="paragraph" w:customStyle="1" w:styleId="126">
    <w:name w:val="正文 A"/>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127">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28">
    <w:name w:val="_Style 5"/>
    <w:basedOn w:val="3"/>
    <w:next w:val="2"/>
    <w:qFormat/>
    <w:uiPriority w:val="0"/>
    <w:pPr>
      <w:ind w:firstLine="420" w:firstLineChars="100"/>
    </w:pPr>
    <w:rPr>
      <w:rFonts w:cs="宋体"/>
    </w:rPr>
  </w:style>
  <w:style w:type="table" w:customStyle="1" w:styleId="129">
    <w:name w:val="Table Normal1"/>
    <w:qFormat/>
    <w:uiPriority w:val="99"/>
    <w:pPr>
      <w:spacing w:after="160" w:line="259" w:lineRule="auto"/>
    </w:pPr>
    <w:tblPr>
      <w:tblCellMar>
        <w:top w:w="0" w:type="dxa"/>
        <w:left w:w="0" w:type="dxa"/>
        <w:bottom w:w="0" w:type="dxa"/>
        <w:right w:w="0" w:type="dxa"/>
      </w:tblCellMar>
    </w:tblPr>
  </w:style>
  <w:style w:type="paragraph" w:customStyle="1" w:styleId="130">
    <w:name w:val="UserStyle_145"/>
    <w:basedOn w:val="1"/>
    <w:qFormat/>
    <w:uiPriority w:val="0"/>
    <w:pPr>
      <w:textAlignment w:val="baseline"/>
    </w:pPr>
    <w:rPr>
      <w:rFonts w:ascii="宋体" w:hAnsi="Courier New"/>
      <w:szCs w:val="22"/>
    </w:rPr>
  </w:style>
  <w:style w:type="character" w:customStyle="1" w:styleId="131">
    <w:name w:val="fontstyle01"/>
    <w:qFormat/>
    <w:uiPriority w:val="0"/>
    <w:rPr>
      <w:rFonts w:hint="eastAsia" w:ascii="宋体" w:hAnsi="宋体" w:eastAsia="宋体"/>
      <w:color w:val="000000"/>
      <w:sz w:val="22"/>
      <w:szCs w:val="22"/>
    </w:rPr>
  </w:style>
  <w:style w:type="paragraph" w:customStyle="1" w:styleId="132">
    <w:name w:val="四号 仿宋"/>
    <w:basedOn w:val="1"/>
    <w:qFormat/>
    <w:uiPriority w:val="0"/>
    <w:pPr>
      <w:spacing w:line="460" w:lineRule="exact"/>
      <w:ind w:firstLine="643" w:firstLineChars="200"/>
    </w:pPr>
    <w:rPr>
      <w:rFonts w:eastAsia="仿宋_GB2312"/>
      <w:bCs/>
      <w:sz w:val="28"/>
      <w:szCs w:val="24"/>
    </w:rPr>
  </w:style>
  <w:style w:type="paragraph" w:customStyle="1" w:styleId="133">
    <w:name w:val="正文_3"/>
    <w:basedOn w:val="1"/>
    <w:qFormat/>
    <w:uiPriority w:val="0"/>
    <w:rPr>
      <w:szCs w:val="21"/>
    </w:rPr>
  </w:style>
  <w:style w:type="character" w:customStyle="1" w:styleId="134">
    <w:name w:val="font11"/>
    <w:basedOn w:val="35"/>
    <w:qFormat/>
    <w:uiPriority w:val="0"/>
    <w:rPr>
      <w:rFonts w:hint="eastAsia" w:ascii="宋体" w:hAnsi="宋体" w:eastAsia="宋体" w:cs="宋体"/>
      <w:color w:val="000000"/>
      <w:sz w:val="21"/>
      <w:szCs w:val="21"/>
      <w:u w:val="none"/>
    </w:rPr>
  </w:style>
  <w:style w:type="character" w:customStyle="1" w:styleId="135">
    <w:name w:val="font51"/>
    <w:basedOn w:val="35"/>
    <w:qFormat/>
    <w:uiPriority w:val="0"/>
    <w:rPr>
      <w:rFonts w:hint="eastAsia" w:ascii="宋体" w:hAnsi="宋体" w:eastAsia="宋体" w:cs="宋体"/>
      <w:color w:val="000000"/>
      <w:sz w:val="18"/>
      <w:szCs w:val="18"/>
      <w:u w:val="none"/>
    </w:rPr>
  </w:style>
  <w:style w:type="character" w:customStyle="1" w:styleId="136">
    <w:name w:val="font71"/>
    <w:basedOn w:val="35"/>
    <w:qFormat/>
    <w:uiPriority w:val="0"/>
    <w:rPr>
      <w:rFonts w:hint="default" w:ascii="Times New Roman" w:hAnsi="Times New Roman" w:cs="Times New Roman"/>
      <w:color w:val="000000"/>
      <w:sz w:val="18"/>
      <w:szCs w:val="18"/>
      <w:u w:val="none"/>
    </w:rPr>
  </w:style>
  <w:style w:type="character" w:customStyle="1" w:styleId="137">
    <w:name w:val="font21"/>
    <w:basedOn w:val="3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986C5-E520-4807-8035-A547ACD3455D}">
  <ds:schemaRefs/>
</ds:datastoreItem>
</file>

<file path=docProps/app.xml><?xml version="1.0" encoding="utf-8"?>
<Properties xmlns="http://schemas.openxmlformats.org/officeDocument/2006/extended-properties" xmlns:vt="http://schemas.openxmlformats.org/officeDocument/2006/docPropsVTypes">
  <Template>Normal</Template>
  <Pages>77</Pages>
  <Words>46078</Words>
  <Characters>50262</Characters>
  <Lines>394</Lines>
  <Paragraphs>111</Paragraphs>
  <TotalTime>0</TotalTime>
  <ScaleCrop>false</ScaleCrop>
  <LinksUpToDate>false</LinksUpToDate>
  <CharactersWithSpaces>52503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2023-07-21T08:42:00Z</dcterms:created>
  <dc:creator>000</dc:creator>
  <cp:lastModifiedBy></cp:lastModifiedBy>
  <cp:lastPrinted>2023-07-21T08:08:00Z</cp:lastPrinted>
  <dcterms:modified xsi:type="dcterms:W3CDTF">2023-07-21T14:24:36Z</dcterms:modified>
  <dc:title>浙江理工大学关于杭州市舆情研究中心舆情监测与分析系统采购项目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39ABB40AA6754D68990EE701B16CFA78</vt:lpwstr>
  </property>
</Properties>
</file>