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400" w:lineRule="exact"/>
        <w:outlineLvl w:val="1"/>
        <w:rPr>
          <w:rFonts w:hint="eastAsia" w:ascii="宋体" w:hAnsi="宋体" w:eastAsia="宋体" w:cs="宋体"/>
          <w:b/>
          <w:bCs/>
          <w:color w:val="auto"/>
          <w:spacing w:val="-6"/>
          <w:sz w:val="22"/>
          <w:szCs w:val="22"/>
          <w:highlight w:val="none"/>
        </w:rPr>
      </w:pPr>
      <w:bookmarkStart w:id="0" w:name="_Toc401"/>
      <w:bookmarkStart w:id="1" w:name="_Toc479839540"/>
      <w:r>
        <w:rPr>
          <w:rFonts w:hint="eastAsia" w:ascii="宋体" w:hAnsi="宋体" w:eastAsia="宋体" w:cs="宋体"/>
          <w:b/>
          <w:bCs/>
          <w:color w:val="auto"/>
          <w:spacing w:val="-6"/>
          <w:sz w:val="22"/>
          <w:szCs w:val="22"/>
          <w:highlight w:val="none"/>
        </w:rPr>
        <w:t>一、采购内容及数量</w:t>
      </w:r>
      <w:bookmarkEnd w:id="0"/>
    </w:p>
    <w:tbl>
      <w:tblPr>
        <w:tblStyle w:val="5"/>
        <w:tblW w:w="0" w:type="auto"/>
        <w:jc w:val="center"/>
        <w:tblLayout w:type="fixed"/>
        <w:tblCellMar>
          <w:top w:w="0" w:type="dxa"/>
          <w:left w:w="108" w:type="dxa"/>
          <w:bottom w:w="0" w:type="dxa"/>
          <w:right w:w="108" w:type="dxa"/>
        </w:tblCellMar>
      </w:tblPr>
      <w:tblGrid>
        <w:gridCol w:w="695"/>
        <w:gridCol w:w="7269"/>
        <w:gridCol w:w="667"/>
        <w:gridCol w:w="800"/>
      </w:tblGrid>
      <w:tr>
        <w:tblPrEx>
          <w:tblCellMar>
            <w:top w:w="0" w:type="dxa"/>
            <w:left w:w="108" w:type="dxa"/>
            <w:bottom w:w="0" w:type="dxa"/>
            <w:right w:w="108"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2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667"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8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567" w:hRule="atLeast"/>
          <w:jc w:val="center"/>
        </w:trPr>
        <w:tc>
          <w:tcPr>
            <w:tcW w:w="69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26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351国道浦江联盟至兰溪界段工程竣（交）工质量评定检测辅助检测项目</w:t>
            </w:r>
          </w:p>
        </w:tc>
        <w:tc>
          <w:tcPr>
            <w:tcW w:w="6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w:t>
            </w:r>
          </w:p>
        </w:tc>
        <w:tc>
          <w:tcPr>
            <w:tcW w:w="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2"/>
                <w:szCs w:val="22"/>
                <w:highlight w:val="none"/>
              </w:rPr>
            </w:pPr>
          </w:p>
        </w:tc>
      </w:tr>
    </w:tbl>
    <w:p>
      <w:pPr>
        <w:snapToGrid w:val="0"/>
        <w:spacing w:line="400" w:lineRule="exact"/>
        <w:outlineLvl w:val="1"/>
        <w:rPr>
          <w:rFonts w:hint="eastAsia" w:ascii="宋体" w:hAnsi="宋体" w:eastAsia="宋体" w:cs="宋体"/>
          <w:b/>
          <w:color w:val="auto"/>
          <w:spacing w:val="-6"/>
          <w:sz w:val="22"/>
          <w:szCs w:val="22"/>
          <w:highlight w:val="none"/>
        </w:rPr>
      </w:pPr>
      <w:bookmarkStart w:id="2" w:name="_Toc25622"/>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bookmarkEnd w:id="2"/>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6"/>
        <w:gridCol w:w="81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付款方式</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采购人计量款到帐后，按计量同比例向成交供应商支付服务费，尾款待项目整体通过交工验收后一次性支付。</w:t>
            </w:r>
            <w:r>
              <w:rPr>
                <w:rFonts w:hint="eastAsia" w:ascii="宋体" w:hAnsi="宋体" w:eastAsia="宋体" w:cs="宋体"/>
                <w:color w:val="auto"/>
                <w:sz w:val="22"/>
                <w:szCs w:val="22"/>
                <w:highlight w:val="none"/>
                <w:u w:val="single"/>
              </w:rPr>
              <w:t>采购人在收到费用支付申请后7个工作日内予以审批，在批复后14个工作日内向</w:t>
            </w:r>
            <w:r>
              <w:rPr>
                <w:rFonts w:hint="eastAsia" w:ascii="宋体" w:hAnsi="宋体" w:eastAsia="宋体" w:cs="宋体"/>
                <w:color w:val="auto"/>
                <w:sz w:val="22"/>
                <w:szCs w:val="22"/>
                <w:highlight w:val="none"/>
                <w:u w:val="single"/>
                <w:lang w:val="en-US" w:eastAsia="zh-CN"/>
              </w:rPr>
              <w:t>成交</w:t>
            </w:r>
            <w:r>
              <w:rPr>
                <w:rFonts w:hint="eastAsia" w:ascii="宋体" w:hAnsi="宋体" w:eastAsia="宋体" w:cs="宋体"/>
                <w:color w:val="auto"/>
                <w:sz w:val="22"/>
                <w:szCs w:val="22"/>
                <w:highlight w:val="none"/>
                <w:u w:val="single"/>
              </w:rPr>
              <w:t>供应商支付服务费。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履约保证金</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服务期</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自合同签订之日起至351国道浦江联盟至兰溪界段工程通过交工验收止。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服务地点</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浙江省交通运输科学研究院指定地点。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报价要求</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人民币报价。</w:t>
            </w:r>
          </w:p>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本项目报价为总价包干价，报价是包含完成本项目工作任务所发生的一切费用及不可预见费等所需的全部费用，全部费用已包含在报价一览表的总报价中。</w:t>
            </w:r>
          </w:p>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部费用包括（但不限于）：为实施和完成合同工程所需人工费（配套的技术员、司机）、机械设备费、企业管理费、规费、税金、利润、运行过程中产生的燃油费、过路费、封道费、保养费、人员食宿费等全部费用，以及合同明示或隐含的所有责任、义务和一般风险。</w:t>
            </w:r>
          </w:p>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综合考虑本项目的特殊性和不确定性，根据项目总体进度计划和阶段性计划以及采购人的要求合理安排好检测设备、人员进场，必要时应切实加大设备、人力的投入，由此增加的费用视为已包含在投标报价中，采购人不再另行支付，供应商应综合考虑各种相关因素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验收标准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达到验收条件时，按照采购合同、响应文件、磋商文件等约定的质量、数量、技术指标或者服务要求设验收指标及其标准。未约定的，应当符合国家强制性规定、政策要求、安全标准、行业或企业有关标准等。</w:t>
            </w:r>
          </w:p>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以上产生的所有费用由成交供应商承担。</w:t>
            </w:r>
          </w:p>
          <w:p>
            <w:pPr>
              <w:pStyle w:val="4"/>
              <w:widowControl/>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注：供应商应于响应文件中提供合同内容的验收标准和检测办法，并在验收中提供采购人认可的相应检测手段，验收标准应符合中国有关的国家、地方、行业的标准，如若中标，经采购人确认后作为验收的依据。</w:t>
            </w:r>
          </w:p>
        </w:tc>
      </w:tr>
    </w:tbl>
    <w:p>
      <w:pPr>
        <w:numPr>
          <w:ilvl w:val="0"/>
          <w:numId w:val="1"/>
        </w:numPr>
        <w:snapToGrid w:val="0"/>
        <w:spacing w:line="400" w:lineRule="exact"/>
        <w:outlineLvl w:val="1"/>
        <w:rPr>
          <w:rFonts w:hint="eastAsia" w:ascii="宋体" w:hAnsi="宋体" w:eastAsia="宋体" w:cs="宋体"/>
          <w:b/>
          <w:bCs/>
          <w:color w:val="auto"/>
          <w:spacing w:val="-6"/>
          <w:sz w:val="22"/>
          <w:szCs w:val="22"/>
          <w:highlight w:val="none"/>
        </w:rPr>
      </w:pPr>
      <w:bookmarkStart w:id="3" w:name="_Toc26570"/>
      <w:r>
        <w:rPr>
          <w:rFonts w:hint="eastAsia" w:ascii="宋体" w:hAnsi="宋体" w:eastAsia="宋体" w:cs="宋体"/>
          <w:b/>
          <w:bCs/>
          <w:color w:val="auto"/>
          <w:spacing w:val="-6"/>
          <w:sz w:val="22"/>
          <w:szCs w:val="22"/>
          <w:highlight w:val="none"/>
        </w:rPr>
        <w:t>技术要求</w:t>
      </w:r>
      <w:bookmarkEnd w:id="3"/>
    </w:p>
    <w:p>
      <w:pPr>
        <w:pStyle w:val="2"/>
        <w:spacing w:line="400" w:lineRule="exact"/>
        <w:ind w:firstLine="0"/>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lang w:val="en-US" w:eastAsia="zh-CN"/>
        </w:rPr>
        <w:t>（一）项目背景</w:t>
      </w:r>
    </w:p>
    <w:p>
      <w:pPr>
        <w:pStyle w:val="2"/>
        <w:spacing w:line="400" w:lineRule="exact"/>
        <w:ind w:firstLine="440" w:firstLineChars="200"/>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本项目拟采购专业单位为采购人“《351国道浦江联盟至兰溪界段工程竣（交）工质量评定检测项目》”提供程实体检测、外观检查报告等。</w:t>
      </w:r>
    </w:p>
    <w:p>
      <w:pPr>
        <w:pStyle w:val="2"/>
        <w:spacing w:line="400" w:lineRule="exact"/>
        <w:ind w:firstLine="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（二）服务内容</w:t>
      </w:r>
    </w:p>
    <w:tbl>
      <w:tblPr>
        <w:tblStyle w:val="5"/>
        <w:tblW w:w="1010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5"/>
        <w:gridCol w:w="2044"/>
        <w:gridCol w:w="1462"/>
        <w:gridCol w:w="785"/>
        <w:gridCol w:w="851"/>
        <w:gridCol w:w="1556"/>
        <w:gridCol w:w="25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5" w:type="dxa"/>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2044" w:type="dxa"/>
            <w:tcBorders>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w:t>
            </w:r>
          </w:p>
        </w:tc>
        <w:tc>
          <w:tcPr>
            <w:tcW w:w="1462"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预计检测时间（月）</w:t>
            </w:r>
          </w:p>
        </w:tc>
        <w:tc>
          <w:tcPr>
            <w:tcW w:w="785"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数量</w:t>
            </w:r>
          </w:p>
        </w:tc>
        <w:tc>
          <w:tcPr>
            <w:tcW w:w="851"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单位</w:t>
            </w:r>
          </w:p>
        </w:tc>
        <w:tc>
          <w:tcPr>
            <w:tcW w:w="1556" w:type="dxa"/>
            <w:tcBorders>
              <w:lef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全费用单价最高限价（元）</w:t>
            </w:r>
          </w:p>
        </w:tc>
        <w:tc>
          <w:tcPr>
            <w:tcW w:w="2566" w:type="dxa"/>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主要工作内容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5" w:type="dxa"/>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044" w:type="dxa"/>
            <w:tcBorders>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交工中间交验阶段</w:t>
            </w:r>
          </w:p>
        </w:tc>
        <w:tc>
          <w:tcPr>
            <w:tcW w:w="1462"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w:t>
            </w:r>
          </w:p>
        </w:tc>
        <w:tc>
          <w:tcPr>
            <w:tcW w:w="785"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851"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人</w:t>
            </w:r>
          </w:p>
        </w:tc>
        <w:tc>
          <w:tcPr>
            <w:tcW w:w="1556" w:type="dxa"/>
            <w:tcBorders>
              <w:lef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20000</w:t>
            </w:r>
          </w:p>
        </w:tc>
        <w:tc>
          <w:tcPr>
            <w:tcW w:w="2566" w:type="dxa"/>
            <w:vMerge w:val="restart"/>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桥梁工作墩台砼强度、钢筋保护层厚度、预应力张拉力、压浆密实度、动静载试验和路基、隧道衬砌厚度、锚杆长度及密实度、桥梁工程、隧道工程外观等项目的辅助检测。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5" w:type="dxa"/>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2044" w:type="dxa"/>
            <w:tcBorders>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交工集中验收阶段</w:t>
            </w:r>
          </w:p>
        </w:tc>
        <w:tc>
          <w:tcPr>
            <w:tcW w:w="1462"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1.4</w:t>
            </w:r>
          </w:p>
        </w:tc>
        <w:tc>
          <w:tcPr>
            <w:tcW w:w="785"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851"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人</w:t>
            </w:r>
          </w:p>
        </w:tc>
        <w:tc>
          <w:tcPr>
            <w:tcW w:w="1556" w:type="dxa"/>
            <w:tcBorders>
              <w:lef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20000</w:t>
            </w:r>
          </w:p>
        </w:tc>
        <w:tc>
          <w:tcPr>
            <w:tcW w:w="2566" w:type="dxa"/>
            <w:vMerge w:val="continue"/>
            <w:noWrap w:val="0"/>
            <w:vAlign w:val="center"/>
          </w:tcPr>
          <w:p>
            <w:pPr>
              <w:widowControl/>
              <w:spacing w:line="400" w:lineRule="exact"/>
              <w:jc w:val="center"/>
              <w:rPr>
                <w:rFonts w:hint="eastAsia" w:ascii="宋体" w:hAnsi="宋体" w:eastAsia="宋体" w:cs="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5" w:type="dxa"/>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2044" w:type="dxa"/>
            <w:tcBorders>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交工集中验收阶段长租车</w:t>
            </w:r>
          </w:p>
        </w:tc>
        <w:tc>
          <w:tcPr>
            <w:tcW w:w="1462"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1.4</w:t>
            </w:r>
          </w:p>
        </w:tc>
        <w:tc>
          <w:tcPr>
            <w:tcW w:w="785"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1</w:t>
            </w:r>
          </w:p>
        </w:tc>
        <w:tc>
          <w:tcPr>
            <w:tcW w:w="851"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辆</w:t>
            </w:r>
          </w:p>
        </w:tc>
        <w:tc>
          <w:tcPr>
            <w:tcW w:w="1556" w:type="dxa"/>
            <w:tcBorders>
              <w:left w:val="single" w:color="auto" w:sz="4" w:space="0"/>
            </w:tcBorders>
            <w:noWrap w:val="0"/>
            <w:vAlign w:val="center"/>
          </w:tcPr>
          <w:p>
            <w:pPr>
              <w:widowControl/>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6000</w:t>
            </w:r>
          </w:p>
        </w:tc>
        <w:tc>
          <w:tcPr>
            <w:tcW w:w="2566" w:type="dxa"/>
            <w:vMerge w:val="continue"/>
            <w:noWrap w:val="0"/>
            <w:vAlign w:val="center"/>
          </w:tcPr>
          <w:p>
            <w:pPr>
              <w:widowControl/>
              <w:spacing w:line="400" w:lineRule="exact"/>
              <w:jc w:val="center"/>
              <w:rPr>
                <w:rFonts w:hint="eastAsia" w:ascii="宋体" w:hAnsi="宋体" w:eastAsia="宋体" w:cs="宋体"/>
                <w:color w:val="auto"/>
                <w:kern w:val="0"/>
                <w:sz w:val="22"/>
                <w:szCs w:val="22"/>
                <w:highlight w:val="none"/>
              </w:rPr>
            </w:pPr>
          </w:p>
        </w:tc>
      </w:tr>
    </w:tbl>
    <w:p>
      <w:pPr>
        <w:pStyle w:val="2"/>
        <w:spacing w:line="400" w:lineRule="exact"/>
        <w:ind w:firstLine="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color w:val="auto"/>
          <w:sz w:val="22"/>
          <w:szCs w:val="22"/>
          <w:highlight w:val="none"/>
        </w:rPr>
        <w:t>服务要求</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供应商应负责项目检测期间的临时交通组织，拟采用“半幅封闭、交替通行”的方式，在已通车公路桥梁隧道进行封道时，必须采取一切措施减少对车辆通行的影响，做到通车、施工两不误。供应商应针对路段的施工特点，针对性设计提出交通组织方案及施工维护方案进行动态优化，编制各项保证车辆通行和安全生产应急预案和完善的保通行措施，报采购人及相关职能部门批准，并认真组织实施，供应商因此增加的费用应认为已包括在投标价之中，采购人不另行支付。</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施工方案和措施应包括：</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a.供应商应牢固树立“安全第一、确保通行、大局为重”的理念，当施工与通行相冲突时，应当无条件服从道路车辆通行的要求；</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b.成立由项目负责人为组长的维护、管理组织领导小组，同时安排专人，作为负责正常道路维护和交通管理工作；</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c.落实交通组织及施工等各项措施，根据本项目的实际情况合理分段、分幅安排施工，要控制施工长度，维持足够宽度，确保车辆能顺利交会，车辆平稳通过；</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d.供应商应配备完善的交通管制、交通分流和各种诱导标志，制定完善的防止施工材料掉落措施，指定专人维护交通管理和秩序；</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e.加强与交警、路政等部门的联系，争取交警、地方参与，建立交通管理制度；</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f.为切实加强重大节日期间的安全生产工作，防止各类事故的发生，供应商应认真做好节日期间交通组织维护以及突发事件的应急救援工作，服从采购人和上级部门的安排，配合做好节假日期间和谐稳定工作，同时必要时应无偿提供人力、设备以及材料等方面的支持配合，供应商因此增加的费用应认为已包括在投标价之中，采购人不另行支付；</w:t>
      </w:r>
    </w:p>
    <w:p>
      <w:pPr>
        <w:pStyle w:val="8"/>
        <w:snapToGrid w:val="0"/>
        <w:spacing w:line="400" w:lineRule="exact"/>
        <w:ind w:firstLine="44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g.供应商应配合服从采购人及上级部门做好各项应急突发事件的防护等各项任务，服从采购人和上级部门的安排，认真做好各项配合工作，同时无偿提供人力、设备以及材料等方面的支持配合，供应商因此增加的费用应认为已包括在投标价之中，采购人不另行支付</w:t>
      </w:r>
      <w:r>
        <w:rPr>
          <w:rFonts w:hint="eastAsia" w:ascii="宋体" w:hAnsi="宋体" w:eastAsia="宋体" w:cs="宋体"/>
          <w:bCs/>
          <w:color w:val="auto"/>
          <w:sz w:val="22"/>
          <w:szCs w:val="22"/>
          <w:highlight w:val="none"/>
          <w:lang w:eastAsia="zh-CN"/>
        </w:rPr>
        <w:t>；</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3.2供应商应提供项目实施所需要的设施设备及人员；</w:t>
      </w:r>
    </w:p>
    <w:p>
      <w:pPr>
        <w:pStyle w:val="8"/>
        <w:snapToGrid w:val="0"/>
        <w:spacing w:line="400" w:lineRule="exact"/>
        <w:ind w:firstLine="440"/>
        <w:rPr>
          <w:rFonts w:hint="eastAsia" w:ascii="宋体" w:hAnsi="宋体" w:eastAsia="宋体" w:cs="宋体"/>
          <w:bCs/>
          <w:color w:val="auto"/>
          <w:sz w:val="22"/>
          <w:szCs w:val="22"/>
          <w:highlight w:val="none"/>
          <w:u w:val="single"/>
          <w:lang w:eastAsia="zh-CN"/>
        </w:rPr>
      </w:pPr>
      <w:r>
        <w:rPr>
          <w:rFonts w:hint="eastAsia" w:ascii="宋体" w:hAnsi="宋体" w:eastAsia="宋体" w:cs="宋体"/>
          <w:bCs/>
          <w:color w:val="auto"/>
          <w:sz w:val="22"/>
          <w:szCs w:val="22"/>
          <w:highlight w:val="none"/>
          <w:u w:val="single"/>
        </w:rPr>
        <w:t>▲3.3供应商应针对现场工作人员购买人身综合意外险等相关险种，保额100万元及以上：需提供投保证明材料或中标后为相关人员投保的承诺</w:t>
      </w:r>
      <w:r>
        <w:rPr>
          <w:rFonts w:hint="eastAsia" w:ascii="宋体" w:hAnsi="宋体" w:eastAsia="宋体" w:cs="宋体"/>
          <w:bCs/>
          <w:color w:val="auto"/>
          <w:sz w:val="22"/>
          <w:szCs w:val="22"/>
          <w:highlight w:val="none"/>
          <w:u w:val="single"/>
          <w:lang w:eastAsia="zh-CN"/>
        </w:rPr>
        <w:t>；</w:t>
      </w:r>
    </w:p>
    <w:p>
      <w:pPr>
        <w:pStyle w:val="8"/>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3.4 供应商提供的专用车辆</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车辆要求：SUV，年限在3年以内且累计行驶15万公里以内</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均应配有持有相应驾驶证件的驾驶员</w:t>
      </w:r>
      <w:r>
        <w:rPr>
          <w:rFonts w:hint="eastAsia" w:ascii="宋体" w:hAnsi="宋体" w:eastAsia="宋体" w:cs="宋体"/>
          <w:b/>
          <w:bCs w:val="0"/>
          <w:color w:val="auto"/>
          <w:sz w:val="22"/>
          <w:szCs w:val="22"/>
          <w:highlight w:val="none"/>
          <w:lang w:val="en-US" w:eastAsia="zh-CN"/>
        </w:rPr>
        <w:t>和相关</w:t>
      </w:r>
      <w:r>
        <w:rPr>
          <w:rFonts w:hint="eastAsia" w:ascii="宋体" w:hAnsi="宋体" w:eastAsia="宋体" w:cs="宋体"/>
          <w:b/>
          <w:bCs w:val="0"/>
          <w:color w:val="auto"/>
          <w:sz w:val="22"/>
          <w:szCs w:val="22"/>
          <w:highlight w:val="none"/>
        </w:rPr>
        <w:t>保险</w:t>
      </w:r>
      <w:r>
        <w:rPr>
          <w:rFonts w:hint="eastAsia" w:ascii="宋体" w:hAnsi="宋体" w:eastAsia="宋体" w:cs="宋体"/>
          <w:bCs/>
          <w:color w:val="auto"/>
          <w:sz w:val="22"/>
          <w:szCs w:val="22"/>
          <w:highlight w:val="none"/>
        </w:rPr>
        <w:t>；</w:t>
      </w:r>
    </w:p>
    <w:p>
      <w:pPr>
        <w:pStyle w:val="8"/>
        <w:snapToGrid w:val="0"/>
        <w:spacing w:line="400" w:lineRule="exact"/>
        <w:ind w:firstLine="44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▲3.5由于供应商措施不力，导致阻车、人员伤亡、事故频发或损坏现有公路，影响交通安全和运行，引起索赔，赔偿、诉讼费用及工程拖延或施工费用增加时，应由供应商承担一切责任和费用，需提供承诺函。</w:t>
      </w:r>
    </w:p>
    <w:p>
      <w:pPr>
        <w:snapToGri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（四）相关法规、管理条例与技术标准、行业规范</w:t>
      </w:r>
    </w:p>
    <w:p>
      <w:pPr>
        <w:spacing w:line="400" w:lineRule="exact"/>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（1）国家规定的标准和规范，有新标准按新标准执行；</w:t>
      </w:r>
    </w:p>
    <w:p>
      <w:pPr>
        <w:spacing w:line="400" w:lineRule="exact"/>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（2）行业标准及规范，有新标准按新标准执行；</w:t>
      </w:r>
    </w:p>
    <w:p>
      <w:pPr>
        <w:spacing w:line="400" w:lineRule="exact"/>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（3）其他相关标准。</w:t>
      </w:r>
    </w:p>
    <w:p>
      <w:pPr>
        <w:pStyle w:val="3"/>
        <w:spacing w:before="0" w:after="0"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成果要求：</w:t>
      </w:r>
    </w:p>
    <w:p>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协助采购人完成</w:t>
      </w:r>
      <w:r>
        <w:rPr>
          <w:rFonts w:hint="eastAsia" w:ascii="宋体" w:hAnsi="宋体" w:eastAsia="宋体" w:cs="宋体"/>
          <w:bCs/>
          <w:color w:val="auto"/>
          <w:sz w:val="22"/>
          <w:szCs w:val="22"/>
          <w:highlight w:val="none"/>
        </w:rPr>
        <w:t>“《351国道浦江联盟至兰溪界段工程竣（交）工质量评定检测项目》”</w:t>
      </w:r>
      <w:r>
        <w:rPr>
          <w:rFonts w:hint="eastAsia" w:ascii="宋体" w:hAnsi="宋体" w:eastAsia="宋体" w:cs="宋体"/>
          <w:color w:val="auto"/>
          <w:sz w:val="22"/>
          <w:szCs w:val="22"/>
          <w:highlight w:val="none"/>
        </w:rPr>
        <w:t>的现场检测工作。</w:t>
      </w:r>
    </w:p>
    <w:bookmarkEnd w:id="1"/>
    <w:p>
      <w:pPr>
        <w:pStyle w:val="3"/>
        <w:spacing w:before="0" w:after="0" w:line="400" w:lineRule="exact"/>
        <w:rPr>
          <w:rFonts w:hint="eastAsia" w:ascii="宋体" w:hAnsi="宋体" w:eastAsia="宋体" w:cs="宋体"/>
          <w:b/>
          <w:color w:val="auto"/>
          <w:kern w:val="2"/>
          <w:sz w:val="22"/>
          <w:szCs w:val="22"/>
          <w:highlight w:val="none"/>
          <w:lang w:val="en-US" w:eastAsia="zh-CN"/>
        </w:rPr>
      </w:pPr>
      <w:r>
        <w:rPr>
          <w:rFonts w:hint="eastAsia" w:ascii="宋体" w:hAnsi="宋体" w:eastAsia="宋体" w:cs="宋体"/>
          <w:b/>
          <w:color w:val="auto"/>
          <w:kern w:val="2"/>
          <w:sz w:val="22"/>
          <w:szCs w:val="22"/>
          <w:highlight w:val="none"/>
          <w:lang w:val="en-US" w:eastAsia="zh-CN"/>
        </w:rPr>
        <w:t>（六）团队要求：（主要包括项目负责人、项目组成员）</w:t>
      </w:r>
    </w:p>
    <w:p>
      <w:pPr>
        <w:pStyle w:val="9"/>
        <w:spacing w:line="400" w:lineRule="exact"/>
        <w:ind w:firstLine="643"/>
        <w:jc w:val="center"/>
        <w:outlineLvl w:val="2"/>
        <w:rPr>
          <w:rFonts w:hint="eastAsia" w:ascii="宋体" w:hAnsi="宋体" w:eastAsia="宋体" w:cs="宋体"/>
          <w:b/>
          <w:bCs/>
          <w:color w:val="auto"/>
          <w:sz w:val="22"/>
          <w:highlight w:val="none"/>
        </w:rPr>
      </w:pPr>
      <w:bookmarkStart w:id="4" w:name="_Toc476751959"/>
      <w:bookmarkStart w:id="5" w:name="_Toc31023"/>
      <w:bookmarkStart w:id="6" w:name="_Toc25343"/>
      <w:r>
        <w:rPr>
          <w:rFonts w:hint="eastAsia" w:ascii="宋体" w:hAnsi="宋体" w:eastAsia="宋体" w:cs="宋体"/>
          <w:b/>
          <w:bCs/>
          <w:color w:val="auto"/>
          <w:sz w:val="22"/>
          <w:highlight w:val="none"/>
        </w:rPr>
        <w:t>主要人员最低要求</w:t>
      </w:r>
      <w:bookmarkEnd w:id="4"/>
      <w:bookmarkEnd w:id="5"/>
    </w:p>
    <w:bookmarkEnd w:id="6"/>
    <w:tbl>
      <w:tblPr>
        <w:tblStyle w:val="5"/>
        <w:tblW w:w="0" w:type="auto"/>
        <w:jc w:val="center"/>
        <w:tblLayout w:type="fixed"/>
        <w:tblCellMar>
          <w:top w:w="0" w:type="dxa"/>
          <w:left w:w="108" w:type="dxa"/>
          <w:bottom w:w="0" w:type="dxa"/>
          <w:right w:w="108" w:type="dxa"/>
        </w:tblCellMar>
      </w:tblPr>
      <w:tblGrid>
        <w:gridCol w:w="1394"/>
        <w:gridCol w:w="713"/>
        <w:gridCol w:w="6731"/>
        <w:gridCol w:w="766"/>
      </w:tblGrid>
      <w:tr>
        <w:tblPrEx>
          <w:tblCellMar>
            <w:top w:w="0" w:type="dxa"/>
            <w:left w:w="108" w:type="dxa"/>
            <w:bottom w:w="0" w:type="dxa"/>
            <w:right w:w="108" w:type="dxa"/>
          </w:tblCellMar>
        </w:tblPrEx>
        <w:trPr>
          <w:trHeight w:val="360" w:hRule="atLeast"/>
          <w:jc w:val="center"/>
        </w:trPr>
        <w:tc>
          <w:tcPr>
            <w:tcW w:w="1394" w:type="dxa"/>
            <w:tcBorders>
              <w:top w:val="single" w:color="auto" w:sz="12" w:space="0"/>
              <w:left w:val="single" w:color="auto" w:sz="12" w:space="0"/>
              <w:bottom w:val="single" w:color="auto" w:sz="6" w:space="0"/>
              <w:right w:val="single" w:color="auto" w:sz="6" w:space="0"/>
            </w:tcBorders>
            <w:noWrap w:val="0"/>
            <w:vAlign w:val="center"/>
          </w:tcPr>
          <w:p>
            <w:pPr>
              <w:pStyle w:val="10"/>
              <w:spacing w:line="400" w:lineRule="exact"/>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w:t>
            </w:r>
          </w:p>
        </w:tc>
        <w:tc>
          <w:tcPr>
            <w:tcW w:w="713" w:type="dxa"/>
            <w:tcBorders>
              <w:top w:val="single" w:color="auto" w:sz="12" w:space="0"/>
              <w:left w:val="nil"/>
              <w:bottom w:val="single" w:color="auto" w:sz="6" w:space="0"/>
              <w:right w:val="single" w:color="auto" w:sz="6" w:space="0"/>
            </w:tcBorders>
            <w:noWrap w:val="0"/>
            <w:vAlign w:val="center"/>
          </w:tcPr>
          <w:p>
            <w:pPr>
              <w:pStyle w:val="10"/>
              <w:spacing w:line="400" w:lineRule="exact"/>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731" w:type="dxa"/>
            <w:tcBorders>
              <w:top w:val="single" w:color="auto" w:sz="12" w:space="0"/>
              <w:left w:val="nil"/>
              <w:bottom w:val="single" w:color="auto" w:sz="6" w:space="0"/>
              <w:right w:val="single" w:color="auto" w:sz="4" w:space="0"/>
            </w:tcBorders>
            <w:noWrap w:val="0"/>
            <w:vAlign w:val="center"/>
          </w:tcPr>
          <w:p>
            <w:pPr>
              <w:pStyle w:val="10"/>
              <w:spacing w:line="400" w:lineRule="exact"/>
              <w:ind w:firstLine="48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66" w:type="dxa"/>
            <w:tcBorders>
              <w:top w:val="single" w:color="auto" w:sz="12" w:space="0"/>
              <w:left w:val="nil"/>
              <w:bottom w:val="single" w:color="auto" w:sz="6" w:space="0"/>
              <w:right w:val="single" w:color="auto" w:sz="12" w:space="0"/>
            </w:tcBorders>
            <w:noWrap w:val="0"/>
            <w:vAlign w:val="center"/>
          </w:tcPr>
          <w:p>
            <w:pPr>
              <w:pStyle w:val="10"/>
              <w:spacing w:line="400" w:lineRule="exact"/>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rPr>
          <w:trHeight w:val="567" w:hRule="atLeast"/>
          <w:jc w:val="center"/>
        </w:trPr>
        <w:tc>
          <w:tcPr>
            <w:tcW w:w="1394" w:type="dxa"/>
            <w:tcBorders>
              <w:top w:val="single" w:color="auto" w:sz="6" w:space="0"/>
              <w:left w:val="single" w:color="auto" w:sz="12" w:space="0"/>
              <w:bottom w:val="single" w:color="auto" w:sz="6" w:space="0"/>
              <w:right w:val="single" w:color="auto" w:sz="6" w:space="0"/>
            </w:tcBorders>
            <w:noWrap w:val="0"/>
            <w:vAlign w:val="center"/>
          </w:tcPr>
          <w:p>
            <w:pPr>
              <w:pStyle w:val="9"/>
              <w:spacing w:line="400" w:lineRule="exact"/>
              <w:ind w:firstLine="2"/>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项目负责人</w:t>
            </w:r>
          </w:p>
        </w:tc>
        <w:tc>
          <w:tcPr>
            <w:tcW w:w="713" w:type="dxa"/>
            <w:tcBorders>
              <w:top w:val="single" w:color="auto" w:sz="6" w:space="0"/>
              <w:left w:val="nil"/>
              <w:bottom w:val="single" w:color="auto" w:sz="6" w:space="0"/>
              <w:right w:val="single" w:color="auto" w:sz="6" w:space="0"/>
            </w:tcBorders>
            <w:noWrap w:val="0"/>
            <w:vAlign w:val="center"/>
          </w:tcPr>
          <w:p>
            <w:pPr>
              <w:pStyle w:val="9"/>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6731" w:type="dxa"/>
            <w:tcBorders>
              <w:top w:val="single" w:color="auto" w:sz="6" w:space="0"/>
              <w:left w:val="nil"/>
              <w:bottom w:val="single" w:color="auto" w:sz="6" w:space="0"/>
              <w:right w:val="single" w:color="auto" w:sz="4" w:space="0"/>
            </w:tcBorders>
            <w:noWrap w:val="0"/>
            <w:vAlign w:val="center"/>
          </w:tcPr>
          <w:p>
            <w:pPr>
              <w:pStyle w:val="9"/>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具有工程师及以上技术职称，且有交通运输部门核发的公路水运工程试验检测工程师证书（需含桥梁专业），年龄在55周岁及以下。</w:t>
            </w:r>
          </w:p>
        </w:tc>
        <w:tc>
          <w:tcPr>
            <w:tcW w:w="766" w:type="dxa"/>
            <w:tcBorders>
              <w:top w:val="single" w:color="auto" w:sz="6" w:space="0"/>
              <w:left w:val="nil"/>
              <w:bottom w:val="single" w:color="auto" w:sz="6" w:space="0"/>
              <w:right w:val="single" w:color="auto" w:sz="12" w:space="0"/>
            </w:tcBorders>
            <w:noWrap w:val="0"/>
            <w:vAlign w:val="center"/>
          </w:tcPr>
          <w:p>
            <w:pPr>
              <w:pStyle w:val="10"/>
              <w:spacing w:line="400" w:lineRule="exact"/>
              <w:ind w:firstLine="48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567" w:hRule="atLeast"/>
          <w:jc w:val="center"/>
        </w:trPr>
        <w:tc>
          <w:tcPr>
            <w:tcW w:w="1394" w:type="dxa"/>
            <w:tcBorders>
              <w:top w:val="single" w:color="auto" w:sz="6" w:space="0"/>
              <w:left w:val="single" w:color="auto" w:sz="12" w:space="0"/>
              <w:bottom w:val="single" w:color="auto" w:sz="6" w:space="0"/>
              <w:right w:val="single" w:color="auto" w:sz="6" w:space="0"/>
            </w:tcBorders>
            <w:noWrap w:val="0"/>
            <w:vAlign w:val="center"/>
          </w:tcPr>
          <w:p>
            <w:pPr>
              <w:pStyle w:val="9"/>
              <w:spacing w:line="400" w:lineRule="exact"/>
              <w:ind w:firstLine="2"/>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技术负责人</w:t>
            </w:r>
          </w:p>
        </w:tc>
        <w:tc>
          <w:tcPr>
            <w:tcW w:w="713" w:type="dxa"/>
            <w:tcBorders>
              <w:top w:val="single" w:color="auto" w:sz="6" w:space="0"/>
              <w:left w:val="nil"/>
              <w:bottom w:val="single" w:color="auto" w:sz="6" w:space="0"/>
              <w:right w:val="single" w:color="auto" w:sz="6" w:space="0"/>
            </w:tcBorders>
            <w:noWrap w:val="0"/>
            <w:vAlign w:val="center"/>
          </w:tcPr>
          <w:p>
            <w:pPr>
              <w:pStyle w:val="9"/>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6731" w:type="dxa"/>
            <w:tcBorders>
              <w:top w:val="single" w:color="auto" w:sz="6" w:space="0"/>
              <w:left w:val="nil"/>
              <w:bottom w:val="single" w:color="auto" w:sz="6" w:space="0"/>
              <w:right w:val="single" w:color="auto" w:sz="4" w:space="0"/>
            </w:tcBorders>
            <w:noWrap w:val="0"/>
            <w:vAlign w:val="center"/>
          </w:tcPr>
          <w:p>
            <w:pPr>
              <w:pStyle w:val="9"/>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具有工程师及以上技术职称，且有交通运输部门核发的公路水运试验检测工程师证书（需含桥梁专业），年龄在55周岁及以下。</w:t>
            </w:r>
          </w:p>
        </w:tc>
        <w:tc>
          <w:tcPr>
            <w:tcW w:w="766" w:type="dxa"/>
            <w:tcBorders>
              <w:top w:val="single" w:color="auto" w:sz="6" w:space="0"/>
              <w:left w:val="nil"/>
              <w:bottom w:val="single" w:color="auto" w:sz="6" w:space="0"/>
              <w:right w:val="single" w:color="auto" w:sz="12" w:space="0"/>
            </w:tcBorders>
            <w:noWrap w:val="0"/>
            <w:vAlign w:val="center"/>
          </w:tcPr>
          <w:p>
            <w:pPr>
              <w:pStyle w:val="10"/>
              <w:spacing w:line="400" w:lineRule="exact"/>
              <w:ind w:firstLine="48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567" w:hRule="atLeast"/>
          <w:jc w:val="center"/>
        </w:trPr>
        <w:tc>
          <w:tcPr>
            <w:tcW w:w="1394" w:type="dxa"/>
            <w:tcBorders>
              <w:top w:val="single" w:color="auto" w:sz="6" w:space="0"/>
              <w:left w:val="single" w:color="auto" w:sz="12" w:space="0"/>
              <w:bottom w:val="single" w:color="auto" w:sz="12" w:space="0"/>
              <w:right w:val="single" w:color="auto" w:sz="6" w:space="0"/>
            </w:tcBorders>
            <w:noWrap w:val="0"/>
            <w:vAlign w:val="center"/>
          </w:tcPr>
          <w:p>
            <w:pPr>
              <w:pStyle w:val="9"/>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检测人员</w:t>
            </w:r>
          </w:p>
        </w:tc>
        <w:tc>
          <w:tcPr>
            <w:tcW w:w="713" w:type="dxa"/>
            <w:tcBorders>
              <w:top w:val="single" w:color="auto" w:sz="6" w:space="0"/>
              <w:left w:val="nil"/>
              <w:bottom w:val="single" w:color="auto" w:sz="12" w:space="0"/>
              <w:right w:val="single" w:color="auto" w:sz="6" w:space="0"/>
            </w:tcBorders>
            <w:noWrap w:val="0"/>
            <w:vAlign w:val="center"/>
          </w:tcPr>
          <w:p>
            <w:pPr>
              <w:pStyle w:val="9"/>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6731" w:type="dxa"/>
            <w:tcBorders>
              <w:top w:val="single" w:color="auto" w:sz="6" w:space="0"/>
              <w:left w:val="nil"/>
              <w:bottom w:val="single" w:color="auto" w:sz="12" w:space="0"/>
              <w:right w:val="single" w:color="auto" w:sz="4" w:space="0"/>
            </w:tcBorders>
            <w:noWrap w:val="0"/>
            <w:vAlign w:val="center"/>
          </w:tcPr>
          <w:p>
            <w:pPr>
              <w:pStyle w:val="9"/>
              <w:spacing w:line="400" w:lineRule="exact"/>
              <w:ind w:firstLine="2" w:firstLineChars="1"/>
              <w:rPr>
                <w:rFonts w:hint="eastAsia" w:ascii="宋体" w:hAnsi="宋体" w:eastAsia="宋体" w:cs="宋体"/>
                <w:color w:val="auto"/>
                <w:sz w:val="22"/>
                <w:highlight w:val="none"/>
              </w:rPr>
            </w:pPr>
            <w:r>
              <w:rPr>
                <w:rFonts w:hint="eastAsia" w:ascii="宋体" w:hAnsi="宋体" w:eastAsia="宋体" w:cs="宋体"/>
                <w:color w:val="auto"/>
                <w:sz w:val="22"/>
                <w:highlight w:val="none"/>
              </w:rPr>
              <w:t>具有公路工程试验检测人员证书（需含桥梁专业），年龄在55周岁及以下。</w:t>
            </w:r>
          </w:p>
        </w:tc>
        <w:tc>
          <w:tcPr>
            <w:tcW w:w="766" w:type="dxa"/>
            <w:tcBorders>
              <w:top w:val="single" w:color="auto" w:sz="6" w:space="0"/>
              <w:left w:val="nil"/>
              <w:bottom w:val="single" w:color="auto" w:sz="12" w:space="0"/>
              <w:right w:val="single" w:color="auto" w:sz="12" w:space="0"/>
            </w:tcBorders>
            <w:noWrap w:val="0"/>
            <w:vAlign w:val="center"/>
          </w:tcPr>
          <w:p>
            <w:pPr>
              <w:pStyle w:val="10"/>
              <w:spacing w:line="400" w:lineRule="exact"/>
              <w:ind w:firstLine="480"/>
              <w:rPr>
                <w:rFonts w:hint="eastAsia" w:ascii="宋体" w:hAnsi="宋体" w:eastAsia="宋体" w:cs="宋体"/>
                <w:color w:val="auto"/>
                <w:sz w:val="22"/>
                <w:szCs w:val="22"/>
                <w:highlight w:val="none"/>
              </w:rPr>
            </w:pPr>
          </w:p>
        </w:tc>
      </w:tr>
    </w:tbl>
    <w:p>
      <w:pPr>
        <w:pStyle w:val="9"/>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注：</w:t>
      </w:r>
    </w:p>
    <w:p>
      <w:pPr>
        <w:pStyle w:val="9"/>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1.持有试验检测证书的人员，其必须在本单位注册且与交通运输部公路水运工程试验检测管理信息系统查询结果一致（供应商应附交通运输部公路水运工程试验检测管理信息系统查询结果截图）。</w:t>
      </w:r>
    </w:p>
    <w:p>
      <w:pPr>
        <w:pStyle w:val="9"/>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2.主要人员的技术职称、检测资格证书等，以供应商在响应文件中提供的身份证、职称证书、试验检测工程师（员）资格证书的彩色打印件或清晰可辨的复印件为准。</w:t>
      </w:r>
    </w:p>
    <w:p>
      <w:pPr>
        <w:pStyle w:val="9"/>
        <w:spacing w:line="400" w:lineRule="exact"/>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一个人不能同时担任多个职务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职务</w:t>
      </w:r>
      <w:r>
        <w:rPr>
          <w:rFonts w:hint="eastAsia" w:ascii="宋体" w:hAnsi="宋体" w:eastAsia="宋体" w:cs="宋体"/>
          <w:color w:val="auto"/>
          <w:sz w:val="22"/>
          <w:highlight w:val="none"/>
        </w:rPr>
        <w:t>包括项目负责人、技术负责人</w:t>
      </w:r>
      <w:r>
        <w:rPr>
          <w:rFonts w:hint="eastAsia" w:ascii="宋体" w:hAnsi="宋体" w:eastAsia="宋体" w:cs="宋体"/>
          <w:color w:val="auto"/>
          <w:sz w:val="22"/>
          <w:highlight w:val="none"/>
          <w:lang w:eastAsia="zh-CN"/>
        </w:rPr>
        <w:t>）。</w:t>
      </w:r>
    </w:p>
    <w:p>
      <w:pPr>
        <w:snapToGrid w:val="0"/>
        <w:spacing w:line="40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z w:val="22"/>
          <w:szCs w:val="22"/>
          <w:highlight w:val="none"/>
        </w:rPr>
        <w:t>四、</w:t>
      </w:r>
      <w:r>
        <w:rPr>
          <w:rFonts w:hint="eastAsia" w:ascii="宋体" w:hAnsi="宋体" w:eastAsia="宋体" w:cs="宋体"/>
          <w:b/>
          <w:bCs/>
          <w:color w:val="auto"/>
          <w:spacing w:val="-6"/>
          <w:sz w:val="22"/>
          <w:szCs w:val="22"/>
          <w:highlight w:val="none"/>
        </w:rPr>
        <w:t>其他</w:t>
      </w:r>
    </w:p>
    <w:p>
      <w:pPr>
        <w:spacing w:line="400" w:lineRule="exact"/>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1.标“▲且加下划线”的有关技术和商务要求为实质性条款，供应商必须做出实质性响应，否则视为无效响应文件。</w:t>
      </w:r>
    </w:p>
    <w:p>
      <w:pPr>
        <w:spacing w:line="400" w:lineRule="exact"/>
        <w:ind w:firstLine="416"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2.除磋商文件中所明确的采购需求规格外，欢迎其他能满足本项目采购需求且性能相当于或高于所明确的服务参加磋商报价。同时在采购需求偏离表中作出详细对比说明</w:t>
      </w:r>
      <w:r>
        <w:rPr>
          <w:rFonts w:hint="eastAsia" w:ascii="宋体" w:hAnsi="宋体" w:eastAsia="宋体" w:cs="宋体"/>
          <w:color w:val="auto"/>
          <w:kern w:val="0"/>
          <w:sz w:val="22"/>
          <w:szCs w:val="22"/>
          <w:highlight w:val="none"/>
        </w:rPr>
        <w:t>。</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F9896"/>
    <w:multiLevelType w:val="singleLevel"/>
    <w:tmpl w:val="B3EF98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000000"/>
    <w:rsid w:val="5433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08" w:lineRule="auto"/>
      <w:outlineLvl w:val="1"/>
    </w:pPr>
    <w:rPr>
      <w:rFonts w:ascii="Arial" w:hAnsi="Arial" w:eastAsia="黑体"/>
      <w:kern w:val="0"/>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00" w:lineRule="atLeast"/>
      <w:ind w:firstLine="510"/>
      <w:textAlignment w:val="baseline"/>
    </w:pPr>
    <w:rPr>
      <w:rFonts w:eastAsia="微软雅黑"/>
      <w:kern w:val="0"/>
      <w:sz w:val="24"/>
    </w:rPr>
  </w:style>
  <w:style w:type="paragraph" w:styleId="4">
    <w:name w:val="annotation text"/>
    <w:basedOn w:val="1"/>
    <w:semiHidden/>
    <w:qFormat/>
    <w:uiPriority w:val="0"/>
    <w:pPr>
      <w:jc w:val="left"/>
    </w:pPr>
  </w:style>
  <w:style w:type="paragraph" w:customStyle="1" w:styleId="7">
    <w:name w:val="列出段落2"/>
    <w:basedOn w:val="1"/>
    <w:autoRedefine/>
    <w:qFormat/>
    <w:uiPriority w:val="0"/>
    <w:pPr>
      <w:ind w:firstLine="420" w:firstLineChars="200"/>
    </w:pPr>
  </w:style>
  <w:style w:type="paragraph" w:customStyle="1" w:styleId="8">
    <w:name w:val="列表段落1"/>
    <w:basedOn w:val="1"/>
    <w:autoRedefine/>
    <w:qFormat/>
    <w:uiPriority w:val="0"/>
    <w:pPr>
      <w:ind w:firstLine="200" w:firstLineChars="200"/>
    </w:pPr>
  </w:style>
  <w:style w:type="paragraph" w:customStyle="1" w:styleId="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_0"/>
    <w:basedOn w:val="1"/>
    <w:autoRedefine/>
    <w:qFormat/>
    <w:uiPriority w:val="0"/>
    <w:pPr>
      <w:spacing w:line="360" w:lineRule="auto"/>
      <w:ind w:firstLine="1044"/>
      <w:jc w:val="left"/>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2024-01-16T03:07:45Z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DF28483008454741A905ABE1348B0581_12</vt:lpwstr>
  </property>
</Properties>
</file>